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</w:rPr>
        <w:t>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检测费用询价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eastAsia="方正仿宋_GBK"/>
          <w:sz w:val="32"/>
          <w:szCs w:val="32"/>
          <w:lang w:eastAsia="zh-CN"/>
        </w:rPr>
        <w:t>龙洲湾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B区河道生态</w:t>
      </w:r>
      <w:r>
        <w:rPr>
          <w:rFonts w:hint="eastAsia" w:ascii="方正仿宋_GBK" w:eastAsia="方正仿宋_GBK"/>
          <w:sz w:val="32"/>
          <w:szCs w:val="32"/>
          <w:lang w:eastAsia="zh-CN"/>
        </w:rPr>
        <w:t>工程监理平行和跟踪检测、项目法人委托检测、竣工检测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3"/>
        <w:widowControl/>
        <w:ind w:firstLine="616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spacing w:line="520" w:lineRule="exact"/>
        <w:ind w:firstLine="435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8D0C20"/>
    <w:rsid w:val="0DCD464A"/>
    <w:rsid w:val="198D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2025-05-06T01:47:00Z</dcterms:created>
  <dc:creator>Administrator</dc:creator>
  <cp:lastModifiedBy>Administrator</cp:lastModifiedBy>
  <dcterms:modified xsi:type="dcterms:W3CDTF">2025-05-06T01:47:22Z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