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  <w:t>报价书</w:t>
      </w:r>
    </w:p>
    <w:p>
      <w:pPr>
        <w:spacing w:line="560" w:lineRule="exact"/>
        <w:jc w:val="center"/>
        <w:rPr>
          <w:rFonts w:hint="eastAsia" w:ascii="方正黑体_GBK" w:hAnsi="方正黑体_GBK" w:eastAsia="方正黑体_GBK" w:cs="方正黑体_GBK"/>
          <w:color w:val="auto"/>
          <w:sz w:val="44"/>
          <w:szCs w:val="44"/>
        </w:rPr>
      </w:pP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渝兴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建设投资有限公司</w:t>
      </w:r>
    </w:p>
    <w:p>
      <w:pPr>
        <w:numPr>
          <w:ilvl w:val="0"/>
          <w:numId w:val="1"/>
        </w:numPr>
        <w:spacing w:line="560" w:lineRule="exact"/>
        <w:ind w:left="0" w:leftChars="0" w:right="-210" w:rightChars="-100" w:firstLine="420" w:firstLineChars="0"/>
        <w:jc w:val="lef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根据你方发布的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公告，经研究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提供</w:t>
      </w:r>
    </w:p>
    <w:p>
      <w:pPr>
        <w:numPr>
          <w:ilvl w:val="0"/>
          <w:numId w:val="0"/>
        </w:numPr>
        <w:spacing w:line="560" w:lineRule="exact"/>
        <w:ind w:right="-210" w:rightChars="-100"/>
        <w:jc w:val="lef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  <w:t>重庆国际贸易集团有限公司起诉代光辉（第三人重庆对外建设（集团）有限公司、重庆市渝兴建设投资有限公司、谢聪）建设工程合同纠纷案法律服务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，其中一审为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万元，二审为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16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为包干价，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包括公告内所有工作内容。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2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4"/>
        <w:widowControl/>
        <w:spacing w:line="560" w:lineRule="exact"/>
        <w:ind w:firstLine="640" w:firstLineChars="200"/>
        <w:rPr>
          <w:rFonts w:hint="eastAsia" w:ascii="方正仿宋_GBK" w:eastAsia="方正仿宋_GBK"/>
          <w:color w:val="auto"/>
          <w:sz w:val="32"/>
          <w:szCs w:val="32"/>
        </w:rPr>
      </w:pPr>
    </w:p>
    <w:p>
      <w:pPr>
        <w:pStyle w:val="4"/>
        <w:widowControl/>
        <w:spacing w:line="560" w:lineRule="exact"/>
        <w:rPr>
          <w:rFonts w:hint="eastAsia" w:ascii="方正仿宋_GBK" w:eastAsia="方正仿宋_GBK"/>
          <w:color w:val="auto"/>
          <w:sz w:val="32"/>
          <w:szCs w:val="32"/>
          <w:lang w:eastAsia="zh-CN"/>
        </w:rPr>
      </w:pPr>
    </w:p>
    <w:p>
      <w:pPr>
        <w:rPr>
          <w:color w:val="auto"/>
        </w:rPr>
      </w:pPr>
    </w:p>
    <w:p/>
    <w:sectPr>
      <w:pgSz w:w="11906" w:h="16838"/>
      <w:pgMar w:top="2098" w:right="1531" w:bottom="1984" w:left="1531" w:header="851" w:footer="992" w:gutter="0"/>
      <w:pgNumType w:fmt="numberInDash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5E8274"/>
    <w:multiLevelType w:val="singleLevel"/>
    <w:tmpl w:val="665E8274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EC03DC"/>
    <w:rsid w:val="28EC0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/>
      <w:keepLines/>
      <w:widowControl w:val="0"/>
      <w:spacing w:before="260" w:after="260" w:line="412" w:lineRule="auto"/>
      <w:outlineLvl w:val="2"/>
    </w:pPr>
    <w:rPr>
      <w:b/>
      <w:sz w:val="32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2025-03-21T02:43:00Z</dcterms:created>
  <dc:creator>Administrator</dc:creator>
  <cp:lastModifiedBy>Administrator</cp:lastModifiedBy>
  <dcterms:modified xsi:type="dcterms:W3CDTF">2025-03-21T02:44:03Z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