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widowControl/>
        <w:spacing w:beforeAutospacing="0" w:afterAutospacing="0" w:line="600" w:lineRule="exact"/>
        <w:rPr>
          <w:rFonts w:hint="default" w:ascii="方正黑体_GBK" w:hAnsi="微软雅黑" w:eastAsia="方正黑体_GBK" w:cs="微软雅黑"/>
          <w:color w:val="404040"/>
          <w:sz w:val="32"/>
          <w:szCs w:val="32"/>
          <w:lang w:val="en-US" w:eastAsia="zh-CN"/>
        </w:rPr>
      </w:pPr>
      <w:r>
        <w:rPr>
          <w:rFonts w:hint="eastAsia" w:ascii="方正黑体_GBK" w:hAnsi="微软雅黑" w:eastAsia="方正黑体_GBK" w:cs="微软雅黑"/>
          <w:color w:val="404040"/>
          <w:sz w:val="32"/>
          <w:szCs w:val="32"/>
          <w:lang w:eastAsia="zh-CN"/>
        </w:rPr>
        <w:t>附件</w:t>
      </w:r>
      <w:r>
        <w:rPr>
          <w:rFonts w:hint="eastAsia" w:ascii="方正黑体_GBK" w:hAnsi="微软雅黑" w:eastAsia="方正黑体_GBK" w:cs="微软雅黑"/>
          <w:color w:val="404040"/>
          <w:sz w:val="32"/>
          <w:szCs w:val="32"/>
          <w:lang w:val="en-US" w:eastAsia="zh-CN"/>
        </w:rPr>
        <w:t>2</w:t>
      </w:r>
    </w:p>
    <w:p>
      <w:pPr>
        <w:pStyle w:val="2"/>
        <w:widowControl/>
        <w:spacing w:beforeAutospacing="0" w:afterAutospacing="0" w:line="600" w:lineRule="exact"/>
        <w:ind w:firstLine="880" w:firstLineChars="200"/>
        <w:jc w:val="both"/>
        <w:rPr>
          <w:rFonts w:hint="eastAsia" w:ascii="方正小标宋_GBK" w:hAnsi="方正小标宋_GBK" w:eastAsia="方正小标宋_GBK" w:cs="方正小标宋_GBK"/>
          <w:b w:val="0"/>
          <w:color w:val="auto"/>
          <w:kern w:val="0"/>
          <w:sz w:val="44"/>
          <w:szCs w:val="44"/>
          <w:shd w:val="clear" w:color="auto" w:fill="FFFFFF"/>
        </w:rPr>
      </w:pPr>
      <w:r>
        <w:rPr>
          <w:rFonts w:hint="eastAsia" w:ascii="方正小标宋_GBK" w:hAnsi="方正小标宋_GBK" w:eastAsia="方正小标宋_GBK" w:cs="方正小标宋_GBK"/>
          <w:b w:val="0"/>
          <w:color w:val="auto"/>
          <w:kern w:val="0"/>
          <w:sz w:val="44"/>
          <w:szCs w:val="44"/>
          <w:shd w:val="clear" w:color="auto" w:fill="FFFFFF"/>
        </w:rPr>
        <w:t>巴南区软件与信息服务外包产业园项目</w:t>
      </w:r>
    </w:p>
    <w:p>
      <w:pPr>
        <w:pStyle w:val="2"/>
        <w:widowControl/>
        <w:spacing w:beforeAutospacing="0" w:afterAutospacing="0" w:line="600" w:lineRule="exact"/>
        <w:jc w:val="center"/>
        <w:rPr>
          <w:rFonts w:hint="eastAsia" w:ascii="方正小标宋_GBK" w:hAnsi="方正小标宋_GBK" w:eastAsia="方正小标宋_GBK" w:cs="方正小标宋_GBK"/>
          <w:b w:val="0"/>
          <w:color w:val="auto"/>
          <w:kern w:val="0"/>
          <w:sz w:val="44"/>
          <w:szCs w:val="44"/>
          <w:shd w:val="clear" w:color="auto" w:fill="FFFFFF"/>
        </w:rPr>
      </w:pPr>
      <w:r>
        <w:rPr>
          <w:rFonts w:hint="eastAsia" w:ascii="方正小标宋_GBK" w:hAnsi="方正小标宋_GBK" w:eastAsia="方正小标宋_GBK" w:cs="方正小标宋_GBK"/>
          <w:b w:val="0"/>
          <w:color w:val="auto"/>
          <w:kern w:val="0"/>
          <w:sz w:val="44"/>
          <w:szCs w:val="44"/>
          <w:shd w:val="clear" w:color="auto" w:fill="FFFFFF"/>
        </w:rPr>
        <w:t>物业服务需求方案</w:t>
      </w:r>
    </w:p>
    <w:p>
      <w:pPr>
        <w:jc w:val="center"/>
        <w:rPr>
          <w:rFonts w:ascii="华文仿宋" w:hAnsi="华文仿宋" w:eastAsia="华文仿宋"/>
          <w:b/>
          <w:color w:val="auto"/>
          <w:sz w:val="32"/>
        </w:rPr>
      </w:pPr>
    </w:p>
    <w:p>
      <w:pPr>
        <w:spacing w:line="600" w:lineRule="exact"/>
        <w:ind w:firstLine="640" w:firstLineChars="200"/>
        <w:outlineLvl w:val="0"/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  <w:t>一、基础信息</w:t>
      </w:r>
    </w:p>
    <w:p>
      <w:pPr>
        <w:spacing w:line="600" w:lineRule="exact"/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项目名称：</w:t>
      </w:r>
      <w:r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</w:rPr>
        <w:t>巴南区软件与信息服务外包产业园项目</w:t>
      </w:r>
    </w:p>
    <w:p>
      <w:pPr>
        <w:spacing w:line="600" w:lineRule="exact"/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建筑面积：168936.08㎡（其中，地上面积106596.78㎡，地下面积</w:t>
      </w:r>
      <w:r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</w:rPr>
        <w:t>62339.30</w:t>
      </w:r>
      <w:r>
        <w:rPr>
          <w:rFonts w:hint="eastAsia" w:ascii="方正仿宋_GBK" w:hAnsi="方正仿宋_GBK" w:eastAsia="方正仿宋_GBK" w:cs="方正仿宋_GBK"/>
          <w:b w:val="0"/>
          <w:bCs/>
          <w:color w:val="auto"/>
          <w:sz w:val="32"/>
          <w:szCs w:val="32"/>
        </w:rPr>
        <w:t>㎡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）</w:t>
      </w:r>
      <w:bookmarkStart w:id="4" w:name="_GoBack"/>
      <w:bookmarkEnd w:id="4"/>
    </w:p>
    <w:p>
      <w:pPr>
        <w:spacing w:line="600" w:lineRule="exact"/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地下车位：1630个</w:t>
      </w:r>
    </w:p>
    <w:p>
      <w:pPr>
        <w:spacing w:line="600" w:lineRule="exact"/>
        <w:ind w:firstLine="640" w:firstLineChars="200"/>
        <w:outlineLvl w:val="0"/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  <w:t>二、实施背景</w:t>
      </w:r>
    </w:p>
    <w:p>
      <w:pPr>
        <w:spacing w:line="600" w:lineRule="exact"/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本项目定位为高端软件产业园区配套设施，系区政府重点工程，其产业人群的物业服务需求呈现多元化、品质化的特点，故要求现场物业服务企业须提供高品质的、全方位的基础配套服务保障。</w:t>
      </w:r>
    </w:p>
    <w:p>
      <w:pPr>
        <w:spacing w:line="600" w:lineRule="exact"/>
        <w:ind w:firstLine="640" w:firstLineChars="200"/>
        <w:outlineLvl w:val="0"/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  <w:t>三、组织架构及人员配置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7"/>
        <w:gridCol w:w="1212"/>
        <w:gridCol w:w="1417"/>
        <w:gridCol w:w="56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8" w:hRule="atLeast"/>
        </w:trPr>
        <w:tc>
          <w:tcPr>
            <w:tcW w:w="62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b/>
                <w:bCs/>
                <w:color w:val="auto"/>
                <w:kern w:val="24"/>
                <w:szCs w:val="21"/>
              </w:rPr>
              <w:t>部门</w:t>
            </w:r>
          </w:p>
        </w:tc>
        <w:tc>
          <w:tcPr>
            <w:tcW w:w="121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b/>
                <w:bCs/>
                <w:color w:val="auto"/>
                <w:kern w:val="24"/>
                <w:szCs w:val="21"/>
              </w:rPr>
              <w:t>岗位</w:t>
            </w:r>
          </w:p>
        </w:tc>
        <w:tc>
          <w:tcPr>
            <w:tcW w:w="141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华文仿宋" w:hAnsi="华文仿宋" w:eastAsia="华文仿宋" w:cs="Times New Roman"/>
                <w:b/>
                <w:bCs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b/>
                <w:bCs/>
                <w:color w:val="auto"/>
                <w:kern w:val="24"/>
                <w:szCs w:val="21"/>
              </w:rPr>
              <w:t>人员配置</w:t>
            </w:r>
          </w:p>
        </w:tc>
        <w:tc>
          <w:tcPr>
            <w:tcW w:w="5670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b/>
                <w:bCs/>
                <w:color w:val="auto"/>
                <w:kern w:val="24"/>
                <w:szCs w:val="21"/>
              </w:rPr>
              <w:t>人员素质要求及岗位职责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1839" w:type="dxa"/>
            <w:gridSpan w:val="2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bookmarkStart w:id="0" w:name="_Hlk191567631"/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项目执行经理</w:t>
            </w:r>
          </w:p>
        </w:tc>
        <w:tc>
          <w:tcPr>
            <w:tcW w:w="141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1</w:t>
            </w:r>
          </w:p>
        </w:tc>
        <w:tc>
          <w:tcPr>
            <w:tcW w:w="5670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1</w:t>
            </w: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、</w:t>
            </w: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大专及以上学历；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2</w:t>
            </w: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、</w:t>
            </w: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3年以上同岗位经验；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3</w:t>
            </w: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、</w:t>
            </w: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熟悉物业项目运作流程制定，物业项目管理思路服务理念；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4</w:t>
            </w: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、</w:t>
            </w: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 xml:space="preserve">有良好的决策能力、组织能力、协调能力，为业主提供可行的管理方案。 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5、负责项目全流程统筹管理工作。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6" w:hRule="atLeast"/>
        </w:trPr>
        <w:tc>
          <w:tcPr>
            <w:tcW w:w="627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客服部</w:t>
            </w:r>
          </w:p>
        </w:tc>
        <w:tc>
          <w:tcPr>
            <w:tcW w:w="121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  <w:t>客服经理</w:t>
            </w:r>
          </w:p>
        </w:tc>
        <w:tc>
          <w:tcPr>
            <w:tcW w:w="141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1</w:t>
            </w:r>
          </w:p>
        </w:tc>
        <w:tc>
          <w:tcPr>
            <w:tcW w:w="5670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1</w:t>
            </w: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、</w:t>
            </w: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专科及以上学历，身高163cm以上；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2</w:t>
            </w: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、</w:t>
            </w: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具有2年以上物业行业或四星级以上酒店品质或客户服务经验；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3</w:t>
            </w: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、</w:t>
            </w: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语言表达能力强，具有良好的问题分析、风险识别及解决能力。具有良好的服务意识和交流沟通能力。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4、负责前台、会务、接待等客户服务工作。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62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</w:p>
        </w:tc>
        <w:tc>
          <w:tcPr>
            <w:tcW w:w="121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  <w:t>会务服务</w:t>
            </w:r>
          </w:p>
        </w:tc>
        <w:tc>
          <w:tcPr>
            <w:tcW w:w="141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4</w:t>
            </w:r>
          </w:p>
        </w:tc>
        <w:tc>
          <w:tcPr>
            <w:tcW w:w="5670" w:type="dxa"/>
            <w:vMerge w:val="continue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" w:hRule="atLeast"/>
        </w:trPr>
        <w:tc>
          <w:tcPr>
            <w:tcW w:w="627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安全部</w:t>
            </w:r>
          </w:p>
        </w:tc>
        <w:tc>
          <w:tcPr>
            <w:tcW w:w="121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  <w:t>安全班长</w:t>
            </w:r>
          </w:p>
        </w:tc>
        <w:tc>
          <w:tcPr>
            <w:tcW w:w="141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  <w:t>1</w:t>
            </w:r>
          </w:p>
        </w:tc>
        <w:tc>
          <w:tcPr>
            <w:tcW w:w="5670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年龄45岁及以下，高中及以上学历，有三年以上相关经验。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负责秩序板块统筹管理。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3" w:hRule="atLeast"/>
        </w:trPr>
        <w:tc>
          <w:tcPr>
            <w:tcW w:w="627" w:type="dxa"/>
            <w:vMerge w:val="continue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</w:p>
        </w:tc>
        <w:tc>
          <w:tcPr>
            <w:tcW w:w="121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  <w:t>秩序门岗</w:t>
            </w:r>
          </w:p>
        </w:tc>
        <w:tc>
          <w:tcPr>
            <w:tcW w:w="141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hint="eastAsia" w:ascii="华文仿宋" w:hAnsi="华文仿宋" w:eastAsia="华文仿宋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华文仿宋" w:hAnsi="华文仿宋" w:eastAsia="华文仿宋" w:cs="Times New Roman"/>
                <w:color w:val="auto"/>
                <w:kern w:val="0"/>
                <w:szCs w:val="21"/>
                <w:lang w:val="en-US" w:eastAsia="zh-CN"/>
              </w:rPr>
              <w:t>8</w:t>
            </w:r>
          </w:p>
        </w:tc>
        <w:tc>
          <w:tcPr>
            <w:tcW w:w="5670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1.</w:t>
            </w: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、</w:t>
            </w: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18-45岁，身高170cm以上；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2</w:t>
            </w: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、</w:t>
            </w: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具有较强的服务意识，负有责任心，普通话准确；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3</w:t>
            </w: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、</w:t>
            </w: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无违法犯罪记录，无吸毒、赌博、长期过量酗酒等不良嗜好；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4</w:t>
            </w: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、</w:t>
            </w: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消防控制中心岗位持政府消防机构认可的消防上岗证书，熟练操作消防控制中心、监控中心内的各类设备。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5、负责项目消防控制室安全管理工作。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62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</w:p>
        </w:tc>
        <w:tc>
          <w:tcPr>
            <w:tcW w:w="121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  <w:t>秩序巡逻岗</w:t>
            </w:r>
          </w:p>
        </w:tc>
        <w:tc>
          <w:tcPr>
            <w:tcW w:w="141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  <w:t>12</w:t>
            </w:r>
          </w:p>
        </w:tc>
        <w:tc>
          <w:tcPr>
            <w:tcW w:w="5670" w:type="dxa"/>
            <w:vMerge w:val="continue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2" w:hRule="atLeast"/>
        </w:trPr>
        <w:tc>
          <w:tcPr>
            <w:tcW w:w="62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</w:p>
        </w:tc>
        <w:tc>
          <w:tcPr>
            <w:tcW w:w="121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秩序中控室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  <w:t>6</w:t>
            </w:r>
          </w:p>
        </w:tc>
        <w:tc>
          <w:tcPr>
            <w:tcW w:w="567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</w:trPr>
        <w:tc>
          <w:tcPr>
            <w:tcW w:w="627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环境部</w:t>
            </w:r>
          </w:p>
        </w:tc>
        <w:tc>
          <w:tcPr>
            <w:tcW w:w="121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环境经理</w:t>
            </w:r>
          </w:p>
        </w:tc>
        <w:tc>
          <w:tcPr>
            <w:tcW w:w="141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  <w:t>1</w:t>
            </w:r>
          </w:p>
        </w:tc>
        <w:tc>
          <w:tcPr>
            <w:tcW w:w="5670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1、年龄50岁以下，专科及以上学历，有三年以上物业项目环境管理经验。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2、负责项目保洁、绿化服务板块事务的统筹管理。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62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</w:p>
        </w:tc>
        <w:tc>
          <w:tcPr>
            <w:tcW w:w="121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保洁员工</w:t>
            </w:r>
          </w:p>
        </w:tc>
        <w:tc>
          <w:tcPr>
            <w:tcW w:w="141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  <w:t>22</w:t>
            </w:r>
          </w:p>
        </w:tc>
        <w:tc>
          <w:tcPr>
            <w:tcW w:w="5670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1、年龄58岁以下，具备基本识字和书写能力。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2、负责现场保洁及绿化任务的具体实施。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62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</w:p>
        </w:tc>
        <w:tc>
          <w:tcPr>
            <w:tcW w:w="121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绿化员工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  <w:t>1</w:t>
            </w:r>
          </w:p>
        </w:tc>
        <w:tc>
          <w:tcPr>
            <w:tcW w:w="567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627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工程部</w:t>
            </w:r>
          </w:p>
        </w:tc>
        <w:tc>
          <w:tcPr>
            <w:tcW w:w="121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工程经理</w:t>
            </w:r>
          </w:p>
        </w:tc>
        <w:tc>
          <w:tcPr>
            <w:tcW w:w="141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1</w:t>
            </w:r>
          </w:p>
        </w:tc>
        <w:tc>
          <w:tcPr>
            <w:tcW w:w="5670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1、年龄55岁以下，高中及以上学历，有三年以上物业项目工程维修经验。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2、负责项目公共区域日常维修、共用设施设备巡检保养以及提供日常维修服务。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62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</w:p>
        </w:tc>
        <w:tc>
          <w:tcPr>
            <w:tcW w:w="121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运行员工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  <w:t>2</w:t>
            </w:r>
          </w:p>
        </w:tc>
        <w:tc>
          <w:tcPr>
            <w:tcW w:w="567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3" w:hRule="atLeast"/>
        </w:trPr>
        <w:tc>
          <w:tcPr>
            <w:tcW w:w="62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</w:p>
        </w:tc>
        <w:tc>
          <w:tcPr>
            <w:tcW w:w="121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综合维修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  <w:t>4</w:t>
            </w:r>
          </w:p>
        </w:tc>
        <w:tc>
          <w:tcPr>
            <w:tcW w:w="567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1839" w:type="dxa"/>
            <w:gridSpan w:val="2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b/>
                <w:bCs/>
                <w:color w:val="auto"/>
                <w:kern w:val="24"/>
                <w:szCs w:val="21"/>
              </w:rPr>
              <w:t>合计</w:t>
            </w:r>
          </w:p>
        </w:tc>
        <w:tc>
          <w:tcPr>
            <w:tcW w:w="141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outlineLvl w:val="9"/>
              <w:rPr>
                <w:rFonts w:hint="eastAsia" w:ascii="华文仿宋" w:hAnsi="华文仿宋" w:eastAsia="华文仿宋" w:cs="Times New Roman"/>
                <w:b/>
                <w:bCs/>
                <w:color w:val="auto"/>
                <w:kern w:val="24"/>
                <w:szCs w:val="21"/>
                <w:lang w:val="en-US" w:eastAsia="zh-CN"/>
              </w:rPr>
            </w:pPr>
            <w:r>
              <w:rPr>
                <w:rFonts w:hint="eastAsia" w:ascii="华文仿宋" w:hAnsi="华文仿宋" w:eastAsia="华文仿宋" w:cs="Times New Roman"/>
                <w:b/>
                <w:bCs/>
                <w:color w:val="auto"/>
                <w:kern w:val="24"/>
                <w:szCs w:val="21"/>
                <w:lang w:val="en-US" w:eastAsia="zh-CN"/>
              </w:rPr>
              <w:t>64</w:t>
            </w:r>
          </w:p>
        </w:tc>
        <w:tc>
          <w:tcPr>
            <w:tcW w:w="5670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b/>
                <w:bCs/>
                <w:color w:val="auto"/>
                <w:kern w:val="24"/>
                <w:szCs w:val="21"/>
              </w:rPr>
              <w:t>　</w:t>
            </w:r>
          </w:p>
        </w:tc>
      </w:tr>
    </w:tbl>
    <w:p>
      <w:pPr>
        <w:numPr>
          <w:ilvl w:val="0"/>
          <w:numId w:val="2"/>
        </w:numPr>
        <w:spacing w:line="560" w:lineRule="exact"/>
        <w:ind w:firstLine="640" w:firstLineChars="200"/>
        <w:outlineLvl w:val="0"/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  <w:t>物业服务范围</w:t>
      </w:r>
    </w:p>
    <w:p>
      <w:pPr>
        <w:spacing w:line="560" w:lineRule="exact"/>
        <w:ind w:firstLine="640" w:firstLineChars="200"/>
        <w:outlineLvl w:val="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eastAsia="zh-CN"/>
        </w:rPr>
        <w:t>（一）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园区内公共区域的环境清洁、绿化养护、小修小补、消防维保、中控室值守、客户服务、消防巡逻、秩序维护（含地下停车场日常管理）。</w:t>
      </w:r>
    </w:p>
    <w:p>
      <w:pPr>
        <w:spacing w:line="560" w:lineRule="exact"/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eastAsia="zh-CN"/>
        </w:rPr>
        <w:t>（二）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10栋会议（建筑面积：2638.81平方米）、11栋党建统战厅（建筑面积：491.2平方米）及巴南区域城市展厅（建筑面积：731.76平方米）的小物业服务，包含秩序维护、接待讲解、会议服务、环境清洁。</w:t>
      </w:r>
    </w:p>
    <w:p>
      <w:pPr>
        <w:spacing w:line="560" w:lineRule="exact"/>
        <w:ind w:firstLine="640" w:firstLineChars="200"/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  <w:t>五、物业服务方案</w:t>
      </w:r>
    </w:p>
    <w:p>
      <w:pPr>
        <w:spacing w:line="560" w:lineRule="exact"/>
        <w:ind w:firstLine="640" w:firstLineChars="200"/>
        <w:rPr>
          <w:rFonts w:hint="eastAsia" w:ascii="方正楷体_GBK" w:hAnsi="方正楷体_GBK" w:eastAsia="方正楷体_GBK" w:cs="方正楷体_GBK"/>
          <w:bCs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bCs/>
          <w:color w:val="auto"/>
          <w:sz w:val="32"/>
          <w:szCs w:val="32"/>
        </w:rPr>
        <w:t>（一）基础服务要求</w:t>
      </w:r>
    </w:p>
    <w:p>
      <w:pPr>
        <w:spacing w:line="560" w:lineRule="exact"/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1.按专业化的要求配置管理服务人员;</w:t>
      </w:r>
    </w:p>
    <w:p>
      <w:pPr>
        <w:spacing w:line="560" w:lineRule="exact"/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2.园区内共用公共设施，如市政设施、楼栋电梯、公共照明、消防设施、景观水系、智能化系统等设施设备运行维护；</w:t>
      </w:r>
    </w:p>
    <w:p>
      <w:pPr>
        <w:spacing w:line="560" w:lineRule="exact"/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3.负责质保期内工程返修问题。</w:t>
      </w:r>
    </w:p>
    <w:p>
      <w:pPr>
        <w:spacing w:line="560" w:lineRule="exact"/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4.公共区域地面、墙面无明显灰尘、无垃圾、整洁干净，玻璃整洁光亮，无设施设备损坏。</w:t>
      </w:r>
    </w:p>
    <w:p>
      <w:pPr>
        <w:spacing w:line="560" w:lineRule="exact"/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5.进行公区日常巡查，制定周、月、季巡查计划，组织实施并按规定做好各阶段巡查记录。</w:t>
      </w:r>
    </w:p>
    <w:p>
      <w:pPr>
        <w:spacing w:line="560" w:lineRule="exact"/>
        <w:ind w:firstLine="640" w:firstLineChars="200"/>
        <w:rPr>
          <w:rFonts w:hint="eastAsia" w:ascii="方正楷体_GBK" w:hAnsi="方正楷体_GBK" w:eastAsia="方正楷体_GBK" w:cs="方正楷体_GBK"/>
          <w:bCs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bCs/>
          <w:color w:val="auto"/>
          <w:sz w:val="32"/>
          <w:szCs w:val="32"/>
        </w:rPr>
        <w:t>（二）重点服务开展</w:t>
      </w:r>
    </w:p>
    <w:p>
      <w:pPr>
        <w:spacing w:line="560" w:lineRule="exact"/>
        <w:ind w:firstLine="640" w:firstLineChars="200"/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</w:rPr>
        <w:t>1.客服服务</w:t>
      </w:r>
    </w:p>
    <w:p>
      <w:pPr>
        <w:pStyle w:val="8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（1）日常接待与咨询：提供24小时热线服务，及时响应业主和租户的咨询、投诉和建议，确保沟通顺畅。</w:t>
      </w:r>
    </w:p>
    <w:p>
      <w:pPr>
        <w:pStyle w:val="8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（2）报修处理：接收并协调维修请求，跟踪处理进度，确保问题及时解决。</w:t>
      </w:r>
    </w:p>
    <w:p>
      <w:pPr>
        <w:pStyle w:val="8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（3）投诉管理：记录并跟进业主投诉，协调相关部门处理，确保问题得到妥善解决。</w:t>
      </w:r>
    </w:p>
    <w:p>
      <w:pPr>
        <w:pStyle w:val="8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（4）信息发布：及时传达物业通知、公告及紧急信息，确保业主和租户了解最新动态。</w:t>
      </w:r>
    </w:p>
    <w:p>
      <w:pPr>
        <w:pStyle w:val="8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（5）客户关怀：定期回访业主，了解需求，提供个性化服务，提升客户满意度。</w:t>
      </w:r>
    </w:p>
    <w:p>
      <w:pPr>
        <w:pStyle w:val="8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（6）协调服务：协助安排保洁、安保、绿化等日常服务，确保物业环境整洁、安全。</w:t>
      </w:r>
    </w:p>
    <w:p>
      <w:pPr>
        <w:spacing w:line="560" w:lineRule="exact"/>
        <w:ind w:firstLine="640" w:firstLineChars="200"/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</w:rPr>
        <w:t>2.秩序服务</w:t>
      </w:r>
    </w:p>
    <w:p>
      <w:pPr>
        <w:pStyle w:val="8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（1）秩序队员24小时不间断巡逻夜间外围巡逻。</w:t>
      </w:r>
    </w:p>
    <w:p>
      <w:pPr>
        <w:pStyle w:val="8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（2）节日武装巡逻。</w:t>
      </w:r>
    </w:p>
    <w:p>
      <w:pPr>
        <w:pStyle w:val="8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（3）中控室高清摄像锁定追踪。</w:t>
      </w:r>
    </w:p>
    <w:p>
      <w:pPr>
        <w:pStyle w:val="8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（4）项目级督导，班长24小时督查制，时时监控各岗位员工执行情况。</w:t>
      </w:r>
    </w:p>
    <w:p>
      <w:pPr>
        <w:pStyle w:val="8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（5）公司级检查，神秘客户验证，服务品质检查。</w:t>
      </w:r>
    </w:p>
    <w:p>
      <w:pPr>
        <w:pStyle w:val="8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（6）演习演练，消防演练、防汛演练、围捕演练、电梯困人等。</w:t>
      </w:r>
    </w:p>
    <w:p>
      <w:pPr>
        <w:spacing w:line="560" w:lineRule="exact"/>
        <w:ind w:firstLine="640" w:firstLineChars="200"/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</w:rPr>
        <w:t>3.环境服务</w:t>
      </w:r>
    </w:p>
    <w:p>
      <w:pPr>
        <w:pStyle w:val="8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（1）集中办公人群，高峰期人流量大，部分区域污染多，根据客户性质设定大堂、车库、卫生间等为重点区域；根据客户办公及生活习惯分时段加强保洁频次。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outlineLvl w:val="9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（2）景观交底，施工单位移交景观名贵乔木等时提前一周交底，现场管理单位建立植物台账，完善植物身份证，以便后期精准养护。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outlineLvl w:val="9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（3）植物日常养护，基本原则-重养护、精修剪，灌木细致到±1~2cm的修剪标准，景观层次更加分明，呈现360度立体养护效果。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outlineLvl w:val="9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（4）保洁机具代替人工，用专业保洁设备代替单纯人工劳作，提高现场保洁效能及效果。（三合一洗地车、高压洗地机等）。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</w:rPr>
        <w:t>4.工程服务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outlineLvl w:val="9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（1）设备设施智能管理系统，赋予每台设施设备唯一的ID号码，帮助后台数据系统识别完整的设备设施“健康记录“从而有效开展预防维护各系统性优化。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outlineLvl w:val="9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（2）园区设施设备体检，从客户视觉对园区现场设施进行体检，对设施状态提供全年维保计划，保持园区设施设备良好运行。对风险及故障及时排查，提出预见性整改计划，使园区设施设备安全运行更有保障。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outlineLvl w:val="9"/>
        <w:rPr>
          <w:rFonts w:hint="eastAsia" w:ascii="方正仿宋_GBK" w:hAnsi="方正仿宋_GBK" w:eastAsia="方正仿宋_GBK" w:cs="方正仿宋_GBK"/>
          <w:b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（3）工程维修，服务15分钟响应，报事完结率90%（考虑部分零配件不能及时更换的情况）。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  <w:t>六、费用支付方式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outlineLvl w:val="9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根据现场实际情况按楼栋集中开放的房屋使用率支付相关费用（按照房屋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eastAsia="zh-CN"/>
        </w:rPr>
        <w:t>建筑面积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计算房屋使用率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eastAsia="zh-CN"/>
        </w:rPr>
        <w:t>）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，其中调整具体如下：</w:t>
      </w:r>
    </w:p>
    <w:tbl>
      <w:tblPr>
        <w:tblStyle w:val="6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0"/>
        <w:gridCol w:w="731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出租率</w:t>
            </w:r>
          </w:p>
        </w:tc>
        <w:tc>
          <w:tcPr>
            <w:tcW w:w="7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岗位配置减少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0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</w:pPr>
            <w:bookmarkStart w:id="1" w:name="OLE_LINK4"/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房屋使用率</w:t>
            </w:r>
            <w:bookmarkStart w:id="2" w:name="OLE_LINK5"/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&lt;</w:t>
            </w:r>
            <w:bookmarkEnd w:id="2"/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30%</w:t>
            </w:r>
          </w:p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车位接管407个</w:t>
            </w:r>
            <w:bookmarkEnd w:id="1"/>
          </w:p>
        </w:tc>
        <w:tc>
          <w:tcPr>
            <w:tcW w:w="7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项目执行经理1人</w:t>
            </w:r>
          </w:p>
          <w:p>
            <w:pPr>
              <w:widowControl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客服部：负责人1人、客服1人。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秩序部：秩序主管1人、秩序中控室6人、秩序门岗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val="en-US" w:eastAsia="zh-CN" w:bidi="ar"/>
              </w:rPr>
              <w:t>5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人、秩序巡逻岗6人。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环境部：环境主管1人、保洁员9人、绿化员工1人。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工程部：工程班长1人、工程2人。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共计3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  <w:t>5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人</w:t>
            </w:r>
          </w:p>
          <w:p>
            <w:pPr>
              <w:widowControl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</w:pPr>
          </w:p>
          <w:p>
            <w:pPr>
              <w:widowControl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关闭其2个人行车行入口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4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60%≥房屋使用率≥30%</w:t>
            </w:r>
          </w:p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车位接管978个</w:t>
            </w:r>
          </w:p>
        </w:tc>
        <w:tc>
          <w:tcPr>
            <w:tcW w:w="7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项目执行经理1人</w:t>
            </w:r>
          </w:p>
          <w:p>
            <w:pPr>
              <w:widowControl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客服部：负责人1人、客服2人。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秩序部：秩序主管1人、秩序中控室6人、秩序门岗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val="en-US" w:eastAsia="zh-CN" w:bidi="ar"/>
              </w:rPr>
              <w:t>5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人、秩序巡逻岗8人。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环境部：环境主管1人、保洁员16人、绿化员工1人。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工程部：工程班长1人、工程4人。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共计4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  <w:t>7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人</w:t>
            </w:r>
          </w:p>
          <w:p>
            <w:pPr>
              <w:widowControl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</w:pPr>
          </w:p>
          <w:p>
            <w:pPr>
              <w:widowControl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关闭2个人行车行入口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80%≥房屋使用率</w:t>
            </w:r>
            <w:bookmarkStart w:id="3" w:name="OLE_LINK7"/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&gt;</w:t>
            </w:r>
            <w:bookmarkEnd w:id="3"/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60%</w:t>
            </w:r>
          </w:p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车位接管1630个（全部接管）</w:t>
            </w:r>
          </w:p>
        </w:tc>
        <w:tc>
          <w:tcPr>
            <w:tcW w:w="7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项目执行经理1人</w:t>
            </w:r>
          </w:p>
          <w:p>
            <w:pPr>
              <w:widowControl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客服部：负责人1人、客服官4人。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秩序部：秩序主管1人、秩序中控室6人、秩序门岗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val="en-US" w:eastAsia="zh-CN" w:bidi="ar"/>
              </w:rPr>
              <w:t>8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人、秩序巡逻岗10人。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环境部：环境主管1人、保洁员19人、绿化员工1人。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工程部：工程班长1人、工程5人。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共计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  <w:t>58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8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房屋使率&gt;80%</w:t>
            </w:r>
          </w:p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车位接管1630个（全部接管）</w:t>
            </w:r>
          </w:p>
        </w:tc>
        <w:tc>
          <w:tcPr>
            <w:tcW w:w="7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项目执行经理1人</w:t>
            </w:r>
          </w:p>
          <w:p>
            <w:pPr>
              <w:widowControl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客服部：负责人1人、客服4人。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秩序部：秩序主管1人、秩序中控室6人、秩序门岗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val="en-US" w:eastAsia="zh-CN" w:bidi="ar"/>
              </w:rPr>
              <w:t>8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人、秩序巡逻岗12人。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环境部：环境主管1人、保洁员22人、绿化员工1人。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工程部：工程班长1人、工程6人。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共计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  <w:t>64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人</w:t>
            </w:r>
          </w:p>
        </w:tc>
      </w:tr>
    </w:tbl>
    <w:p>
      <w:pPr>
        <w:spacing w:line="560" w:lineRule="exact"/>
        <w:ind w:firstLine="640" w:firstLineChars="200"/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  <w:t>七、费用及其他说明</w:t>
      </w:r>
    </w:p>
    <w:p>
      <w:pPr>
        <w:pStyle w:val="8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eastAsia="zh-CN"/>
        </w:rPr>
        <w:t>一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）项目公区能耗由业主方据实支付。</w:t>
      </w:r>
    </w:p>
    <w:p>
      <w:pPr>
        <w:pStyle w:val="8"/>
        <w:spacing w:line="560" w:lineRule="exact"/>
        <w:ind w:firstLine="64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eastAsia="zh-CN"/>
        </w:rPr>
        <w:t>二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）物业办公室需业主方进行装修及配置空调。</w:t>
      </w:r>
    </w:p>
    <w:p>
      <w:pPr>
        <w:pStyle w:val="9"/>
        <w:rPr>
          <w:rFonts w:hint="eastAsia"/>
        </w:rPr>
      </w:pPr>
    </w:p>
    <w:p>
      <w:pPr>
        <w:pStyle w:val="9"/>
        <w:rPr>
          <w:rFonts w:hint="eastAsia"/>
        </w:rPr>
      </w:pPr>
    </w:p>
    <w:p>
      <w:pPr>
        <w:pStyle w:val="9"/>
        <w:rPr>
          <w:rFonts w:hint="eastAsia"/>
        </w:rPr>
      </w:pPr>
    </w:p>
    <w:p>
      <w:pPr>
        <w:pStyle w:val="9"/>
        <w:rPr>
          <w:rFonts w:hint="eastAsia"/>
        </w:rPr>
      </w:pPr>
    </w:p>
    <w:p>
      <w:pPr>
        <w:pStyle w:val="9"/>
        <w:rPr>
          <w:rFonts w:hint="eastAsia"/>
        </w:rPr>
      </w:pPr>
    </w:p>
    <w:p>
      <w:pPr>
        <w:pStyle w:val="3"/>
        <w:spacing w:line="520" w:lineRule="exact"/>
        <w:rPr>
          <w:rFonts w:hint="eastAsia" w:ascii="方正仿宋_GBK" w:eastAsia="方正仿宋_GBK"/>
          <w:szCs w:val="22"/>
          <w:lang w:eastAsia="zh-CN"/>
        </w:rPr>
        <w:sectPr>
          <w:footerReference r:id="rId3" w:type="default"/>
          <w:pgSz w:w="11907" w:h="16840"/>
          <w:pgMar w:top="2098" w:right="1531" w:bottom="1984" w:left="1531" w:header="964" w:footer="992" w:gutter="0"/>
          <w:pgNumType w:fmt="numberInDash"/>
          <w:cols w:space="720" w:num="1"/>
          <w:rtlGutter w:val="0"/>
          <w:docGrid w:linePitch="380" w:charSpace="0"/>
        </w:sectPr>
      </w:pPr>
    </w:p>
    <w:p>
      <w:pPr>
        <w:rPr>
          <w:rFonts w:hint="eastAsia" w:ascii="方正黑体_GBK" w:eastAsia="方正黑体_GBK"/>
          <w:sz w:val="32"/>
          <w:szCs w:val="32"/>
        </w:rPr>
      </w:pPr>
    </w:p>
    <w:p/>
    <w:sectPr>
      <w:footerReference r:id="rId4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-</w:t>
    </w:r>
    <w:r>
      <w:t xml:space="preserve"> 1 -</w:t>
    </w:r>
    <w:r>
      <w:fldChar w:fldCharType="end"/>
    </w:r>
  </w:p>
  <w:p>
    <w:pPr>
      <w:pStyle w:val="3"/>
      <w:kinsoku w:val="0"/>
      <w:overflowPunct w:val="0"/>
      <w:spacing w:line="14" w:lineRule="auto"/>
      <w:rPr>
        <w:rFonts w:ascii="Times New Roman" w:eastAsia="宋体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kinsoku w:val="0"/>
      <w:overflowPunct w:val="0"/>
      <w:spacing w:line="14" w:lineRule="auto"/>
      <w:rPr>
        <w:rFonts w:ascii="Times New Roman" w:eastAsia="宋体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6EDD9BA"/>
    <w:multiLevelType w:val="singleLevel"/>
    <w:tmpl w:val="B6EDD9BA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2A66130"/>
    <w:multiLevelType w:val="singleLevel"/>
    <w:tmpl w:val="12A66130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515061"/>
    <w:rsid w:val="71515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kern w:val="44"/>
      <w:sz w:val="48"/>
      <w:szCs w:val="48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rPr>
      <w:rFonts w:ascii="仿宋_GB2312" w:hAnsi="Times New Roman" w:eastAsia="仿宋_GB2312"/>
      <w:sz w:val="32"/>
      <w:szCs w:val="20"/>
    </w:rPr>
  </w:style>
  <w:style w:type="paragraph" w:styleId="4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sz w:val="18"/>
      <w:szCs w:val="20"/>
    </w:rPr>
  </w:style>
  <w:style w:type="paragraph" w:styleId="5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customStyle="1" w:styleId="8">
    <w:name w:val="List Paragraph"/>
    <w:basedOn w:val="1"/>
    <w:qFormat/>
    <w:uiPriority w:val="34"/>
    <w:pPr>
      <w:ind w:firstLine="420" w:firstLineChars="200"/>
    </w:pPr>
  </w:style>
  <w:style w:type="paragraph" w:customStyle="1" w:styleId="9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仿宋_GB2312" w:cs="仿宋_GB2312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2025-07-23T01:26:00Z</dcterms:created>
  <dc:creator>Administrator</dc:creator>
  <cp:lastModifiedBy>Administrator</cp:lastModifiedBy>
  <dcterms:modified xsi:type="dcterms:W3CDTF">2025-07-23T01:27:00Z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