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  <w:r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  <w:t>附件1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540" w:lineRule="exact"/>
        <w:ind w:right="0" w:rightChars="0"/>
        <w:jc w:val="both"/>
        <w:textAlignment w:val="auto"/>
        <w:outlineLvl w:val="9"/>
        <w:rPr>
          <w:rFonts w:hint="eastAsia" w:ascii="方正黑体_GBK" w:hAnsi="方正黑体_GBK" w:eastAsia="方正黑体_GBK" w:cs="方正黑体_GBK"/>
          <w:i w:val="0"/>
          <w:caps w:val="0"/>
          <w:color w:val="404040"/>
          <w:spacing w:val="0"/>
          <w:sz w:val="32"/>
          <w:szCs w:val="32"/>
          <w:lang w:val="en-US" w:eastAsia="zh-CN"/>
        </w:rPr>
      </w:pPr>
    </w:p>
    <w:tbl>
      <w:tblPr>
        <w:tblStyle w:val="7"/>
        <w:tblW w:w="944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950"/>
        <w:gridCol w:w="3675"/>
        <w:gridCol w:w="1275"/>
        <w:gridCol w:w="254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6" w:hRule="atLeast"/>
          <w:jc w:val="center"/>
        </w:trPr>
        <w:tc>
          <w:tcPr>
            <w:tcW w:w="19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项目名称</w:t>
            </w:r>
          </w:p>
        </w:tc>
        <w:tc>
          <w:tcPr>
            <w:tcW w:w="36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服务内容</w:t>
            </w:r>
          </w:p>
        </w:tc>
        <w:tc>
          <w:tcPr>
            <w:tcW w:w="1275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eastAsia="zh-CN"/>
                <w14:textFill>
                  <w14:solidFill>
                    <w14:schemeClr w14:val="tx1"/>
                  </w14:solidFill>
                </w14:textFill>
              </w:rPr>
              <w:t>预估收运量</w:t>
            </w:r>
          </w:p>
        </w:tc>
        <w:tc>
          <w:tcPr>
            <w:tcW w:w="254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/>
              <w:jc w:val="center"/>
              <w:textAlignment w:val="auto"/>
              <w:outlineLvl w:val="9"/>
              <w:rPr>
                <w:rFonts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14:textFill>
                  <w14:solidFill>
                    <w14:schemeClr w14:val="tx1"/>
                  </w14:solidFill>
                </w14:textFill>
              </w:rPr>
              <w:t>备注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85" w:hRule="exact"/>
          <w:jc w:val="center"/>
        </w:trPr>
        <w:tc>
          <w:tcPr>
            <w:tcW w:w="1950" w:type="dxa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28"/>
                <w:szCs w:val="28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巴南区固废公司家庭厨余垃圾收运服务外包项目</w:t>
            </w:r>
          </w:p>
        </w:tc>
        <w:tc>
          <w:tcPr>
            <w:tcW w:w="3675" w:type="dxa"/>
            <w:shd w:val="clear" w:color="auto" w:fill="auto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供应商对巴南区龙洲湾街道、鱼洞街道、莲花街道、李家沱街道、花溪街道共5个街道的家庭厨余垃圾进行收运，采用高位翻桶式专用车辆定时、定点收集装车后，清运至界石垃圾二次转运站。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服务期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shd w:val="clear"/>
                <w:lang w:val="en-US" w:eastAsia="zh-CN" w:bidi="ar-SA"/>
              </w:rPr>
              <w:t>限暂定6个月（180天），供应商按照80吨/天，预估收运量14400吨（最终以实际收运量为准）</w:t>
            </w: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进行报价。</w:t>
            </w:r>
          </w:p>
        </w:tc>
        <w:tc>
          <w:tcPr>
            <w:tcW w:w="1275" w:type="dxa"/>
            <w:shd w:val="clear" w:color="auto" w:fill="auto"/>
            <w:vAlign w:val="center"/>
          </w:tcPr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center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  <w:r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shd w:val="clear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  <w:t>14400吨</w:t>
            </w:r>
          </w:p>
        </w:tc>
        <w:tc>
          <w:tcPr>
            <w:tcW w:w="2540" w:type="dxa"/>
            <w:vAlign w:val="center"/>
          </w:tcPr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1.供应商根据暂定服务期限及预估收运量进行报价，格式可结合实际情况调整，并逐页盖章。</w:t>
            </w:r>
          </w:p>
          <w:p>
            <w:pPr>
              <w:pStyle w:val="5"/>
              <w:keepNext w:val="0"/>
              <w:keepLines w:val="0"/>
              <w:pageBreakBefore w:val="0"/>
              <w:widowControl w:val="0"/>
              <w:numPr>
                <w:ilvl w:val="0"/>
                <w:numId w:val="0"/>
              </w:numP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pacing w:line="360" w:lineRule="exact"/>
              <w:ind w:left="0" w:leftChars="0" w:right="0" w:rightChars="0" w:firstLine="560" w:firstLineChars="20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</w:pPr>
            <w:r>
              <w:rPr>
                <w:rFonts w:hint="eastAsia" w:ascii="方正仿宋_GBK" w:hAnsi="方正仿宋_GBK" w:eastAsia="方正仿宋_GBK" w:cs="方正仿宋_GBK"/>
                <w:color w:val="auto"/>
                <w:kern w:val="2"/>
                <w:sz w:val="28"/>
                <w:szCs w:val="28"/>
                <w:lang w:val="en-US" w:eastAsia="zh-CN" w:bidi="ar-SA"/>
              </w:rPr>
              <w:t>2.供应商的报价需包含增值税费、运输费、人工费、管理费、服务费等所有费用。</w:t>
            </w:r>
          </w:p>
          <w:p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360" w:lineRule="exact"/>
              <w:ind w:left="0" w:leftChars="0" w:right="0" w:rightChars="0" w:firstLine="0" w:firstLineChars="0"/>
              <w:jc w:val="both"/>
              <w:textAlignment w:val="auto"/>
              <w:outlineLvl w:val="9"/>
              <w:rPr>
                <w:rFonts w:hint="eastAsia" w:ascii="方正仿宋_GBK" w:hAnsi="方正仿宋_GBK" w:eastAsia="方正仿宋_GBK" w:cs="方正仿宋_GBK"/>
                <w:color w:val="000000" w:themeColor="text1"/>
                <w:sz w:val="32"/>
                <w:szCs w:val="32"/>
                <w:lang w:val="en-US" w:eastAsia="zh-CN"/>
                <w14:textFill>
                  <w14:solidFill>
                    <w14:schemeClr w14:val="tx1"/>
                  </w14:solidFill>
                </w14:textFill>
              </w:rPr>
            </w:pP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02"/>
    <w:family w:val="roman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oNotDisplayPageBoundaries w:val="1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17090659"/>
    <w:rsid w:val="125424B3"/>
    <w:rsid w:val="17090659"/>
    <w:rsid w:val="33E54D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qFormat="1" w:uiPriority="99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qFormat="1" w:uiPriority="99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59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2"/>
      <w:lang w:val="en-US" w:eastAsia="zh-CN" w:bidi="ar-SA"/>
    </w:rPr>
  </w:style>
  <w:style w:type="character" w:default="1" w:styleId="8">
    <w:name w:val="Default Paragraph Font"/>
    <w:semiHidden/>
    <w:uiPriority w:val="0"/>
  </w:style>
  <w:style w:type="table" w:default="1" w:styleId="6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"/>
    <w:basedOn w:val="3"/>
    <w:next w:val="4"/>
    <w:unhideWhenUsed/>
    <w:qFormat/>
    <w:uiPriority w:val="99"/>
    <w:pPr>
      <w:spacing w:line="360" w:lineRule="auto"/>
      <w:ind w:firstLine="420"/>
    </w:pPr>
    <w:rPr>
      <w:rFonts w:ascii="宋体" w:hAnsi="宋体"/>
      <w:sz w:val="24"/>
    </w:rPr>
  </w:style>
  <w:style w:type="paragraph" w:styleId="3">
    <w:name w:val="Body Text"/>
    <w:basedOn w:val="1"/>
    <w:next w:val="1"/>
    <w:qFormat/>
    <w:uiPriority w:val="0"/>
    <w:rPr>
      <w:rFonts w:ascii="仿宋_GB2312" w:eastAsia="仿宋_GB2312"/>
      <w:sz w:val="32"/>
      <w:szCs w:val="24"/>
    </w:rPr>
  </w:style>
  <w:style w:type="paragraph" w:styleId="4">
    <w:name w:val="List 3"/>
    <w:basedOn w:val="1"/>
    <w:unhideWhenUsed/>
    <w:qFormat/>
    <w:uiPriority w:val="99"/>
    <w:pPr>
      <w:adjustRightInd w:val="0"/>
      <w:snapToGrid w:val="0"/>
      <w:spacing w:line="360" w:lineRule="auto"/>
      <w:ind w:left="100" w:leftChars="400" w:hanging="200" w:hangingChars="200"/>
    </w:pPr>
    <w:rPr>
      <w:sz w:val="24"/>
    </w:rPr>
  </w:style>
  <w:style w:type="paragraph" w:styleId="5">
    <w:name w:val="footer"/>
    <w:basedOn w:val="1"/>
    <w:next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table" w:styleId="7">
    <w:name w:val="Table Grid"/>
    <w:basedOn w:val="6"/>
    <w:qFormat/>
    <w:uiPriority w:val="59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2025-09-18T06:21:00Z</dcterms:created>
  <dc:creator>Administrator</dc:creator>
  <cp:lastModifiedBy>Administrator</cp:lastModifiedBy>
  <dcterms:modified xsi:type="dcterms:W3CDTF">2025-09-18T06:24:06Z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