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eastAsia" w:cs="宋体"/>
          <w:b w:val="0"/>
          <w:bCs w:val="0"/>
          <w:color w:val="000000"/>
          <w:sz w:val="36"/>
          <w:szCs w:val="36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center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44"/>
          <w:szCs w:val="44"/>
          <w:lang w:val="en-US" w:eastAsia="zh-CN"/>
        </w:rPr>
        <w:t>地下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44"/>
          <w:szCs w:val="44"/>
        </w:rPr>
        <w:t>综合管廊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44"/>
          <w:szCs w:val="44"/>
          <w:lang w:val="en-US" w:eastAsia="zh-CN"/>
        </w:rPr>
        <w:t>2026年临时管</w:t>
      </w:r>
      <w:r>
        <w:rPr>
          <w:rFonts w:hint="eastAsia" w:ascii="方正小标宋_GBK" w:hAnsi="方正小标宋_GBK" w:eastAsia="方正小标宋_GBK" w:cs="方正小标宋_GBK"/>
          <w:b w:val="0"/>
          <w:bCs w:val="0"/>
          <w:color w:val="000000"/>
          <w:sz w:val="44"/>
          <w:szCs w:val="44"/>
        </w:rPr>
        <w:t>护方案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  <w:t xml:space="preserve">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jc w:val="lef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240" w:firstLineChars="100"/>
        <w:jc w:val="righ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3600" w:firstLineChars="1500"/>
        <w:jc w:val="both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  <w:t>2025年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lang w:val="en-US" w:eastAsia="zh-CN"/>
        </w:rPr>
        <w:t>10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  <w:t>月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  <w:lang w:val="en-US" w:eastAsia="zh-CN"/>
        </w:rPr>
        <w:t>目录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48"/>
          <w:szCs w:val="48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  <w:t>一、工程概况...................................</w:t>
      </w:r>
      <w:r>
        <w:rPr>
          <w:rFonts w:hint="eastAsia" w:ascii="宋体" w:hAnsi="宋体" w:cs="宋体"/>
          <w:b w:val="0"/>
          <w:bCs w:val="0"/>
          <w:color w:val="000000"/>
          <w:sz w:val="30"/>
          <w:szCs w:val="30"/>
          <w:lang w:val="en-US" w:eastAsia="zh-CN"/>
        </w:rPr>
        <w:t>.</w:t>
      </w:r>
      <w:r>
        <w:rPr>
          <w:rFonts w:hint="eastAsia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  <w:t>....3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  <w:t>二</w:t>
      </w:r>
      <w:r>
        <w:rPr>
          <w:rFonts w:hint="eastAsia" w:ascii="宋体" w:hAnsi="宋体" w:cs="宋体"/>
          <w:b w:val="0"/>
          <w:bCs w:val="0"/>
          <w:color w:val="000000"/>
          <w:sz w:val="30"/>
          <w:szCs w:val="30"/>
          <w:lang w:val="en-US" w:eastAsia="zh-CN"/>
        </w:rPr>
        <w:t>、</w:t>
      </w:r>
      <w:r>
        <w:rPr>
          <w:rFonts w:hint="eastAsia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  <w:t>临时管护工作</w:t>
      </w:r>
      <w:r>
        <w:rPr>
          <w:rFonts w:hint="eastAsia" w:ascii="宋体" w:hAnsi="宋体" w:cs="宋体"/>
          <w:b w:val="0"/>
          <w:bCs w:val="0"/>
          <w:color w:val="000000"/>
          <w:sz w:val="30"/>
          <w:szCs w:val="30"/>
          <w:lang w:val="en-US" w:eastAsia="zh-CN"/>
        </w:rPr>
        <w:t>内容</w:t>
      </w:r>
      <w:r>
        <w:rPr>
          <w:rFonts w:hint="eastAsia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  <w:t>................................3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textAlignment w:val="auto"/>
        <w:rPr>
          <w:rFonts w:hint="default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  <w:t>三、管廊安全专项管理 .....................</w:t>
      </w:r>
      <w:r>
        <w:rPr>
          <w:rFonts w:hint="eastAsia" w:ascii="宋体" w:hAnsi="宋体" w:cs="宋体"/>
          <w:b w:val="0"/>
          <w:bCs w:val="0"/>
          <w:color w:val="000000"/>
          <w:sz w:val="30"/>
          <w:szCs w:val="30"/>
          <w:lang w:val="en-US" w:eastAsia="zh-CN"/>
        </w:rPr>
        <w:t>.</w:t>
      </w:r>
      <w:r>
        <w:rPr>
          <w:rFonts w:hint="eastAsia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  <w:t>.........</w:t>
      </w:r>
      <w:r>
        <w:rPr>
          <w:rFonts w:hint="eastAsia" w:ascii="宋体" w:hAnsi="宋体" w:cs="宋体"/>
          <w:b w:val="0"/>
          <w:bCs w:val="0"/>
          <w:color w:val="000000"/>
          <w:sz w:val="30"/>
          <w:szCs w:val="30"/>
          <w:lang w:val="en-US" w:eastAsia="zh-CN"/>
        </w:rPr>
        <w:t>5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textAlignment w:val="auto"/>
        <w:rPr>
          <w:rFonts w:hint="default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  <w:t>四、人廊管线维护要求.....................</w:t>
      </w:r>
      <w:r>
        <w:rPr>
          <w:rFonts w:hint="eastAsia" w:ascii="宋体" w:hAnsi="宋体" w:cs="宋体"/>
          <w:b w:val="0"/>
          <w:bCs w:val="0"/>
          <w:color w:val="000000"/>
          <w:sz w:val="30"/>
          <w:szCs w:val="30"/>
          <w:lang w:val="en-US" w:eastAsia="zh-CN"/>
        </w:rPr>
        <w:t>...</w:t>
      </w:r>
      <w:r>
        <w:rPr>
          <w:rFonts w:hint="eastAsia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  <w:t>........</w:t>
      </w:r>
      <w:r>
        <w:rPr>
          <w:rFonts w:hint="eastAsia" w:ascii="宋体" w:hAnsi="宋体" w:cs="宋体"/>
          <w:b w:val="0"/>
          <w:bCs w:val="0"/>
          <w:color w:val="000000"/>
          <w:sz w:val="30"/>
          <w:szCs w:val="30"/>
          <w:lang w:val="en-US" w:eastAsia="zh-CN"/>
        </w:rPr>
        <w:t>5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textAlignment w:val="auto"/>
        <w:rPr>
          <w:rFonts w:hint="default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  <w:t>五、人员配置方案.........................</w:t>
      </w:r>
      <w:r>
        <w:rPr>
          <w:rFonts w:hint="eastAsia" w:ascii="宋体" w:hAnsi="宋体" w:cs="宋体"/>
          <w:b w:val="0"/>
          <w:bCs w:val="0"/>
          <w:color w:val="000000"/>
          <w:sz w:val="30"/>
          <w:szCs w:val="30"/>
          <w:lang w:val="en-US" w:eastAsia="zh-CN"/>
        </w:rPr>
        <w:t>.......</w:t>
      </w:r>
      <w:r>
        <w:rPr>
          <w:rFonts w:hint="eastAsia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  <w:t>....</w:t>
      </w:r>
      <w:r>
        <w:rPr>
          <w:rFonts w:hint="eastAsia" w:ascii="宋体" w:hAnsi="宋体" w:cs="宋体"/>
          <w:b w:val="0"/>
          <w:bCs w:val="0"/>
          <w:color w:val="000000"/>
          <w:sz w:val="30"/>
          <w:szCs w:val="30"/>
          <w:lang w:val="en-US" w:eastAsia="zh-CN"/>
        </w:rPr>
        <w:t>6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textAlignment w:val="auto"/>
        <w:rPr>
          <w:rFonts w:hint="default" w:ascii="宋体" w:hAnsi="宋体" w:eastAsia="宋体" w:cs="宋体"/>
          <w:b w:val="0"/>
          <w:bCs w:val="0"/>
          <w:color w:val="000000"/>
          <w:sz w:val="30"/>
          <w:szCs w:val="30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default" w:ascii="宋体" w:hAnsi="宋体" w:cs="宋体"/>
          <w:b w:val="0"/>
          <w:bCs w:val="0"/>
          <w:color w:val="000000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default" w:ascii="宋体" w:hAnsi="宋体" w:cs="宋体"/>
          <w:b w:val="0"/>
          <w:bCs w:val="0"/>
          <w:color w:val="000000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cs="宋体"/>
          <w:b/>
          <w:bCs/>
          <w:color w:val="000000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cs="宋体"/>
          <w:b/>
          <w:bCs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sz w:val="24"/>
          <w:szCs w:val="24"/>
          <w:lang w:val="en-US" w:eastAsia="zh-CN"/>
        </w:rPr>
        <w:t>一、工程概况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default" w:ascii="宋体" w:hAnsi="宋体" w:cs="宋体"/>
          <w:b w:val="0"/>
          <w:bCs w:val="0"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lang w:val="en-US" w:eastAsia="zh-CN"/>
        </w:rPr>
        <w:t>1、地下综合管廊位于龙洲湾片区，起于海洋公园南侧，止于尚文大道尾端，全长10.12公里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lang w:val="en-US" w:eastAsia="zh-CN"/>
        </w:rPr>
        <w:t>。廊体截面主要分为高3.8米X宽8.9米，高3.8米X宽9.3米，高3.8米X宽9.9米三种，其中预制管廊占管廊总长度的45%,工程总投资约12.7亿元，工期1000日历天。本工程已于2020年被列为国家重点研发计划“城市地下综合管廊安全防控技术研究及示范项目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eastAsia" w:ascii="宋体" w:hAnsi="宋体" w:cs="宋体"/>
          <w:b w:val="0"/>
          <w:bCs w:val="0"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lang w:val="en-US" w:eastAsia="zh-CN"/>
        </w:rPr>
        <w:t>2、地下综合管廊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lang w:val="en-US" w:eastAsia="zh-CN"/>
        </w:rPr>
        <w:t>工程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lang w:val="en-US" w:eastAsia="zh-CN"/>
        </w:rPr>
        <w:t>控制中心，为本项目新建工程，总建筑面积1908.6㎡，项目由控制中心地上2F、地下2F组成。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textAlignment w:val="auto"/>
        <w:rPr>
          <w:rFonts w:hint="eastAsia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  <w:t>二、临时管护工作内容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2" w:firstLineChars="200"/>
        <w:textAlignment w:val="auto"/>
        <w:rPr>
          <w:rFonts w:hint="eastAsia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  <w:t>1、承接查验板块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目的：维护参建各方正当合法权益，提高产品质量和客户满意度，降低项目运营风险和成本。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需求：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牵头组织承接查验工作，编制承接查验计划，现场问题查验、整改结果复验（未整改问题升级通报），对管理权已移交的设施设备进行维护管理，遗留问题的整改进度和质量跟踪。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723" w:firstLineChars="300"/>
        <w:textAlignment w:val="auto"/>
        <w:rPr>
          <w:rFonts w:hint="default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  <w:t>承接查验工程师职责及要求：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管廊正式移交前60天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现场预查走场，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召开承接查验启动会，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与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参建各方了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解施工实际情况，依据现场实际情况编制《承接查验工作计划》并与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参建各方、运维方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就查验计划及标准、资料移交要求、信息周转流程及查验范围达成一致意见；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在召开完承接查验启动会后5个工作日内牵头完成项目施工资料移交(含消防验收、竣工备案登记证，排污许可证、图纸、合同、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巡检记录、设备运行记录、故障记录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及年检合格证等)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查验内容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①共用部位：一般包括管廊内设施设备、设备房简装及安装、留置资产的装修及安装、人防设施。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②共用设备：一般包括给排水系统、避雷系统、消防系统、发电机、变配电系统、空调系统、通风系统、周界安防系统、对讲系统、电视监控系统、弱电网络系统、车管系统、人行道闸系统等；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③共用设施：一般包括道路、标识导视、环境硬景、环境植物、停车设施、公区等。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3）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现场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问题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查验及问题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跟踪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销项，对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查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验周期内发现的问题不能及时整改销项及风险问题进行升级汇报，验证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现场设施设备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设施设备台账等）；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4）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按要求组织协调实物移交，水电能源移交及整体移交，对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参建各方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移交的资料进行接收；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5）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对遗留问题安排人员进行跟进，对遗留问题数据及销项进行监管；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eastAsia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6）承接查验工程师要求：1、具备中级工程师以上职称2、具备二级建造师以上专业岗位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2" w:firstLineChars="200"/>
        <w:textAlignment w:val="auto"/>
        <w:rPr>
          <w:rFonts w:hint="default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  <w:t>2、临时管护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  <w:t>1）保持综合管廊内的整洁和通风良好。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  <w:t>2）监督管线单位严格执行相关安全规程，做好安全监控和巡查等安全保障工作。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  <w:t>3）监督综合管廊内管线和附属设施施工单位严格执行 相关安全规程和批准的安全施工措施方案，做好安全监控和巡查等安全保障。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  <w:t>4）配合和协助管线单位的巡查、养护和维修。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5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  <w:t>）综合管廊内发生险情时，采取紧急措施并及时组织管线单位进行抢修。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6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  <w:t>）制定并实施综合管廊应急预案。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7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  <w:t>）巡查保护综合管廊构筑物的完整、安全，及时发现 并制止对综合管廊产生危害的行为。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highlight w:val="none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8）中控室24小时值守、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  <w:t>值班人员坚守岗位，不得擅自离岗。重要任务必须离开时，应找人替代，不得出现脱岗、离岗现象。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sz w:val="24"/>
          <w:szCs w:val="24"/>
          <w:highlight w:val="none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9）中控室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  <w:t>值班日记按要求写清值班时间、值班人员、事项内容等。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10）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  <w:t>值班人员应注意严格执行保密规定。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11）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定期组织应急预案的培训和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演练 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每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年不应少于 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2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次;应定期开展应急预案的评估和修订，宜每年修订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1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 次，并应根据管线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入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廊情况和周边环境变等及时进行修订、 完善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 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12）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  <w:t>综合管廊属于地下构筑物工程，管廊的全面巡检必须保证每周至少一次，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综合管廊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内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部主体结构巡检频次每周不应少于 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1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次，综合管廊外各类口部巡检频次每天不少于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1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 次，安全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控制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区巡检频次每天不宜少于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1次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 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textAlignment w:val="auto"/>
        <w:rPr>
          <w:rFonts w:hint="default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  <w:t>三、管廊</w:t>
      </w:r>
      <w:r>
        <w:rPr>
          <w:rFonts w:hint="default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  <w:t>安全</w:t>
      </w:r>
      <w:r>
        <w:rPr>
          <w:rFonts w:hint="eastAsia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  <w:t>专项</w:t>
      </w:r>
      <w:r>
        <w:rPr>
          <w:rFonts w:hint="default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  <w:t xml:space="preserve">管理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①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未经允许不得进入;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②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严禁单独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一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人进入综合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管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廊;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③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应经过入廊安全培训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④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应先检测 ，再通风，确认环境参数符合安全要求后方可进入;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⑤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入廊人员应配备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必备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的防护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用具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 、检测仪器和应急装备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⑥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严禁在综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合管</w:t>
      </w:r>
      <w:r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廊内吸烟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60" w:lineRule="exact"/>
        <w:ind w:firstLine="480" w:firstLineChars="200"/>
        <w:textAlignment w:val="auto"/>
        <w:rPr>
          <w:rFonts w:hint="default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⑦人员年龄45周岁以下、保险齐全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textAlignment w:val="auto"/>
        <w:rPr>
          <w:rFonts w:hint="default" w:ascii="宋体" w:hAnsi="宋体" w:eastAsia="宋体" w:cs="宋体"/>
          <w:b/>
          <w:bCs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  <w:t>四、</w:t>
      </w: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highlight w:val="none"/>
          <w:lang w:val="en-US" w:eastAsia="zh-CN"/>
        </w:rPr>
        <w:t>入廊管线维护</w:t>
      </w:r>
      <w:r>
        <w:rPr>
          <w:rFonts w:hint="eastAsia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  <w:t>要求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1、入廊管线运行维护及安全管理对象应包括入廊管道、管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件及随管线建设的支吊架、检测监测装置等。 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2、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 编制入廊管线的巡检和维护计划，入廊管线应定期巡检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发现问题并及时上报甲方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维修;停止运行、封存、报废的管线应采取必要的安全防护措施 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3、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综合管廊内有施工作业时应增加入廊管线巡检频次;遭遇洪涝、地震、火灾等事件后应及时进行入廊管线巡检，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并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增加巡检频次 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4、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人廊管线作业时应对综合管廊本体、附属设施和其他相关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入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廊管线采取安全防护措施 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5、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入廊管线应急处置时，应采取防止次生灾害产生的措施 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6、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人廊管线宜设置维护站点，并宜结合综合管廊监控中心管理用房统筹设置 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7、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 xml:space="preserve">入廊管线的防雷与接地装置性能应良好 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480" w:firstLineChars="200"/>
        <w:textAlignment w:val="auto"/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8、</w:t>
      </w:r>
      <w:r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人廊管线运行维护及安全管理尚应符合各自管线人廊运行、维护及安全要求</w:t>
      </w: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textAlignment w:val="auto"/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给水、再生水管道巡检内容</w:t>
      </w: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：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1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textAlignment w:val="auto"/>
        <w:rPr>
          <w:rFonts w:hint="eastAsia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  <w:t>服务期限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 w:firstLine="480" w:firstLineChars="200"/>
        <w:textAlignment w:val="auto"/>
        <w:rPr>
          <w:rFonts w:hint="eastAsia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 w:val="0"/>
          <w:bCs w:val="0"/>
          <w:color w:val="000000"/>
          <w:sz w:val="24"/>
          <w:szCs w:val="24"/>
          <w:highlight w:val="none"/>
          <w:lang w:val="en-US" w:eastAsia="zh-CN"/>
        </w:rPr>
        <w:t>暂</w:t>
      </w:r>
      <w:r>
        <w:rPr>
          <w:rFonts w:hint="eastAsia" w:ascii="宋体" w:hAnsi="宋体" w:eastAsia="宋体" w:cs="宋体"/>
          <w:b w:val="0"/>
          <w:bCs w:val="0"/>
          <w:color w:val="000000"/>
          <w:sz w:val="24"/>
          <w:szCs w:val="24"/>
          <w:highlight w:val="none"/>
          <w:lang w:val="en-US" w:eastAsia="zh-CN"/>
        </w:rPr>
        <w:t>定12个月，甲方有权提出随时终止。</w:t>
      </w:r>
    </w:p>
    <w:p>
      <w:pPr>
        <w:pStyle w:val="4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rightChars="0"/>
        <w:textAlignment w:val="auto"/>
        <w:rPr>
          <w:rFonts w:hint="default" w:ascii="宋体" w:hAnsi="宋体" w:eastAsia="宋体" w:cs="宋体"/>
          <w:b/>
          <w:bCs/>
          <w:color w:val="000000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  <w:highlight w:val="none"/>
          <w:lang w:val="en-US" w:eastAsia="zh-CN"/>
        </w:rPr>
        <w:t>六、人员配置方</w:t>
      </w:r>
      <w:r>
        <w:rPr>
          <w:rFonts w:hint="eastAsia" w:ascii="宋体" w:hAnsi="宋体" w:cs="宋体"/>
          <w:b/>
          <w:bCs/>
          <w:color w:val="000000"/>
          <w:sz w:val="24"/>
          <w:szCs w:val="24"/>
          <w:highlight w:val="none"/>
          <w:lang w:val="en-US" w:eastAsia="zh-CN"/>
        </w:rPr>
        <w:t>案</w:t>
      </w:r>
    </w:p>
    <w:tbl>
      <w:tblPr>
        <w:tblStyle w:val="5"/>
        <w:tblW w:w="7057" w:type="dxa"/>
        <w:tblInd w:w="98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7"/>
        <w:gridCol w:w="1944"/>
        <w:gridCol w:w="1622"/>
        <w:gridCol w:w="1347"/>
        <w:gridCol w:w="1347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05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巴南地下综合管廊临时管护配置需求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序号</w:t>
            </w:r>
          </w:p>
        </w:tc>
        <w:tc>
          <w:tcPr>
            <w:tcW w:w="1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需求岗位</w:t>
            </w: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专业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人员需求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服务月份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</w:t>
            </w:r>
          </w:p>
        </w:tc>
        <w:tc>
          <w:tcPr>
            <w:tcW w:w="1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管廊移交交割</w:t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承接查验、销项</w:t>
            </w: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安装工程师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2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2</w:t>
            </w:r>
          </w:p>
        </w:tc>
        <w:tc>
          <w:tcPr>
            <w:tcW w:w="1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中控室值守</w:t>
            </w: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秩序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2</w:t>
            </w:r>
          </w:p>
        </w:tc>
        <w:tc>
          <w:tcPr>
            <w:tcW w:w="1347" w:type="dxa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9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3</w:t>
            </w:r>
          </w:p>
        </w:tc>
        <w:tc>
          <w:tcPr>
            <w:tcW w:w="194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管廊巡检</w:t>
            </w:r>
          </w:p>
        </w:tc>
        <w:tc>
          <w:tcPr>
            <w:tcW w:w="16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工程</w:t>
            </w:r>
          </w:p>
        </w:tc>
        <w:tc>
          <w:tcPr>
            <w:tcW w:w="134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3</w:t>
            </w:r>
          </w:p>
        </w:tc>
        <w:tc>
          <w:tcPr>
            <w:tcW w:w="1347" w:type="dxa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7057" w:type="dxa"/>
            <w:gridSpan w:val="5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宋体" w:hAnsi="宋体" w:cs="宋体"/>
                <w:b w:val="0"/>
                <w:bCs w:val="0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4"/>
                <w:szCs w:val="24"/>
                <w:highlight w:val="none"/>
                <w:u w:val="none"/>
                <w:lang w:val="en-US" w:eastAsia="zh-CN"/>
              </w:rPr>
              <w:t>安装工程师人员要求：①</w:t>
            </w:r>
            <w:r>
              <w:rPr>
                <w:rFonts w:hint="eastAsia" w:ascii="宋体" w:hAnsi="宋体" w:cs="宋体"/>
                <w:b w:val="0"/>
                <w:bCs w:val="0"/>
                <w:color w:val="000000"/>
                <w:sz w:val="24"/>
                <w:szCs w:val="24"/>
                <w:highlight w:val="none"/>
                <w:lang w:val="en-US" w:eastAsia="zh-CN"/>
              </w:rPr>
              <w:t>具备中级工程师以上职称②具备二级建造师以上专业岗位③人证合一④2人查验、销项需同步进行且办公软件熟悉操作</w:t>
            </w:r>
          </w:p>
          <w:p>
            <w:pPr>
              <w:keepNext w:val="0"/>
              <w:keepLines w:val="0"/>
              <w:pageBreakBefore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宋体" w:hAnsi="宋体" w:cs="宋体"/>
                <w:b w:val="0"/>
                <w:bCs w:val="0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z w:val="24"/>
                <w:szCs w:val="24"/>
                <w:highlight w:val="none"/>
                <w:lang w:val="en-US" w:eastAsia="zh-CN"/>
              </w:rPr>
              <w:t>中控室值守人员要求：①熟练掌握中控室消防、监控软件操作，电脑操作熟悉②具备工程专业知识，能准确判断处理管廊应急事件③中控室操作人员有对应岗位证书④年龄小于45周岁</w:t>
            </w:r>
          </w:p>
          <w:p>
            <w:pPr>
              <w:keepNext w:val="0"/>
              <w:keepLines w:val="0"/>
              <w:pageBreakBefore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60" w:lineRule="exact"/>
              <w:jc w:val="left"/>
              <w:rPr>
                <w:rFonts w:hint="default" w:ascii="宋体" w:hAnsi="宋体" w:cs="宋体"/>
                <w:b w:val="0"/>
                <w:bCs w:val="0"/>
                <w:color w:val="000000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b w:val="0"/>
                <w:bCs w:val="0"/>
                <w:color w:val="000000"/>
                <w:sz w:val="24"/>
                <w:szCs w:val="24"/>
                <w:highlight w:val="none"/>
                <w:lang w:val="en-US" w:eastAsia="zh-CN"/>
              </w:rPr>
              <w:t>管廊巡检人员要求：①具备工程专业知识，能识别设施设备异常情况及应急处理②管廊巡检2人同时上岗③年龄小于45周岁</w:t>
            </w:r>
          </w:p>
        </w:tc>
      </w:tr>
    </w:tbl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textAlignment w:val="auto"/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</w:pPr>
    </w:p>
    <w:p>
      <w:pPr>
        <w:pStyle w:val="4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/>
        <w:jc w:val="center"/>
        <w:textAlignment w:val="auto"/>
        <w:rPr>
          <w:rFonts w:hint="default" w:ascii="宋体" w:hAnsi="宋体" w:eastAsia="宋体" w:cs="宋体"/>
          <w:b w:val="0"/>
          <w:bCs w:val="0"/>
          <w:color w:val="000000"/>
          <w:sz w:val="24"/>
          <w:szCs w:val="24"/>
          <w:lang w:val="en-US" w:eastAsia="zh-CN"/>
        </w:rPr>
      </w:pPr>
      <w:r>
        <w:rPr>
          <w:rFonts w:hint="eastAsia" w:ascii="宋体" w:hAnsi="宋体" w:cs="宋体"/>
          <w:b w:val="0"/>
          <w:bCs w:val="0"/>
          <w:color w:val="000000"/>
          <w:sz w:val="24"/>
          <w:szCs w:val="24"/>
          <w:lang w:val="en-US" w:eastAsia="zh-CN"/>
        </w:rPr>
        <w:t xml:space="preserve">                                                  2025年10月</w:t>
      </w:r>
    </w:p>
    <w:p>
      <w:pPr>
        <w:pStyle w:val="4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left"/>
        <w:textAlignment w:val="auto"/>
        <w:rPr>
          <w:rFonts w:hint="eastAsia" w:ascii="方正黑体_GBK" w:hAnsi="方正黑体_GBK" w:eastAsia="方正黑体_GBK" w:cs="方正黑体_GBK"/>
          <w:b w:val="0"/>
          <w:i w:val="0"/>
          <w:caps w:val="0"/>
          <w:color w:val="404040"/>
          <w:spacing w:val="0"/>
          <w:sz w:val="32"/>
          <w:szCs w:val="32"/>
          <w:u w:val="none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B38F2FAD"/>
    <w:multiLevelType w:val="singleLevel"/>
    <w:tmpl w:val="B38F2FAD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3BF8D66"/>
    <w:multiLevelType w:val="singleLevel"/>
    <w:tmpl w:val="03BF8D66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CBA249F"/>
    <w:rsid w:val="4CBA24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next w:val="1"/>
    <w:qFormat/>
    <w:uiPriority w:val="99"/>
    <w:rPr>
      <w:rFonts w:ascii="Times New Roman" w:hAnsi="Times New Roman" w:eastAsia="仿宋_GB2312"/>
      <w:sz w:val="32"/>
      <w:szCs w:val="20"/>
    </w:rPr>
  </w:style>
  <w:style w:type="paragraph" w:styleId="4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2025-10-24T01:41:00Z</dcterms:created>
  <dc:creator>Administrator</dc:creator>
  <cp:lastModifiedBy>Administrator</cp:lastModifiedBy>
  <dcterms:modified xsi:type="dcterms:W3CDTF">2025-10-24T01:42:19Z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