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eastAsia" w:ascii="方正小标宋_GBK" w:hAnsi="方正小标宋_GBK" w:eastAsia="方正小标宋_GBK" w:cs="方正小标宋_GBK"/>
          <w:color w:val="auto"/>
          <w:sz w:val="44"/>
          <w:szCs w:val="44"/>
        </w:rPr>
      </w:pPr>
      <w:r>
        <w:rPr>
          <w:rFonts w:hint="eastAsia" w:ascii="方正小标宋_GBK" w:hAnsi="方正小标宋_GBK" w:eastAsia="方正小标宋_GBK" w:cs="方正小标宋_GBK"/>
          <w:color w:val="auto"/>
          <w:sz w:val="44"/>
          <w:szCs w:val="44"/>
        </w:rPr>
        <w:t>报价书</w:t>
      </w:r>
    </w:p>
    <w:p>
      <w:pPr>
        <w:spacing w:line="560" w:lineRule="exact"/>
        <w:jc w:val="center"/>
        <w:rPr>
          <w:rFonts w:hint="eastAsia" w:ascii="方正黑体_GBK" w:hAnsi="方正黑体_GBK" w:eastAsia="方正黑体_GBK" w:cs="方正黑体_GBK"/>
          <w:color w:val="auto"/>
          <w:sz w:val="44"/>
          <w:szCs w:val="44"/>
        </w:rPr>
      </w:pPr>
    </w:p>
    <w:p>
      <w:pPr>
        <w:keepNext w:val="0"/>
        <w:keepLines w:val="0"/>
        <w:pageBreakBefore w:val="0"/>
        <w:widowControl w:val="0"/>
        <w:kinsoku/>
        <w:wordWrap/>
        <w:overflowPunct/>
        <w:topLinePunct w:val="0"/>
        <w:autoSpaceDE/>
        <w:autoSpaceDN/>
        <w:bidi w:val="0"/>
        <w:adjustRightInd/>
        <w:snapToGrid/>
        <w:spacing w:line="560" w:lineRule="exact"/>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重庆市</w:t>
      </w:r>
      <w:r>
        <w:rPr>
          <w:rFonts w:hint="eastAsia" w:ascii="方正仿宋_GBK" w:hAnsi="方正仿宋_GBK" w:eastAsia="方正仿宋_GBK" w:cs="方正仿宋_GBK"/>
          <w:color w:val="000000"/>
          <w:spacing w:val="-6"/>
          <w:sz w:val="32"/>
          <w:szCs w:val="32"/>
          <w:shd w:val="clear" w:color="auto" w:fill="FFFFFF"/>
          <w:lang w:eastAsia="zh-CN"/>
        </w:rPr>
        <w:t>渝兴</w:t>
      </w:r>
      <w:r>
        <w:rPr>
          <w:rFonts w:hint="eastAsia" w:ascii="方正仿宋_GBK" w:hAnsi="方正仿宋_GBK" w:eastAsia="方正仿宋_GBK" w:cs="方正仿宋_GBK"/>
          <w:color w:val="000000"/>
          <w:spacing w:val="-6"/>
          <w:sz w:val="32"/>
          <w:szCs w:val="32"/>
          <w:shd w:val="clear" w:color="auto" w:fill="FFFFFF"/>
        </w:rPr>
        <w:t>建设投资有限公司</w:t>
      </w:r>
    </w:p>
    <w:p>
      <w:pPr>
        <w:numPr>
          <w:ilvl w:val="0"/>
          <w:numId w:val="1"/>
        </w:numPr>
        <w:spacing w:line="560" w:lineRule="exact"/>
        <w:ind w:left="0" w:leftChars="0" w:right="-210" w:rightChars="-100" w:firstLine="420" w:firstLineChars="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000000"/>
          <w:spacing w:val="-6"/>
          <w:sz w:val="32"/>
          <w:szCs w:val="32"/>
          <w:shd w:val="clear" w:color="auto" w:fill="FFFFFF"/>
        </w:rPr>
        <w:t>根据你方发布的</w:t>
      </w:r>
      <w:r>
        <w:rPr>
          <w:rFonts w:hint="eastAsia" w:ascii="方正仿宋_GBK" w:hAnsi="方正仿宋_GBK" w:eastAsia="方正仿宋_GBK" w:cs="方正仿宋_GBK"/>
          <w:color w:val="000000"/>
          <w:spacing w:val="-6"/>
          <w:sz w:val="32"/>
          <w:szCs w:val="32"/>
          <w:shd w:val="clear" w:color="auto" w:fill="FFFFFF"/>
          <w:lang w:val="en-US" w:eastAsia="zh-CN"/>
        </w:rPr>
        <w:t>询价</w:t>
      </w:r>
      <w:r>
        <w:rPr>
          <w:rFonts w:hint="eastAsia" w:ascii="方正仿宋_GBK" w:hAnsi="方正仿宋_GBK" w:eastAsia="方正仿宋_GBK" w:cs="方正仿宋_GBK"/>
          <w:color w:val="000000"/>
          <w:spacing w:val="-6"/>
          <w:sz w:val="32"/>
          <w:szCs w:val="32"/>
          <w:shd w:val="clear" w:color="auto" w:fill="FFFFFF"/>
        </w:rPr>
        <w:t>公告，经研究</w:t>
      </w:r>
      <w:r>
        <w:rPr>
          <w:rFonts w:hint="eastAsia" w:ascii="方正仿宋_GBK" w:hAnsi="方正仿宋_GBK" w:eastAsia="方正仿宋_GBK" w:cs="方正仿宋_GBK"/>
          <w:color w:val="000000"/>
          <w:spacing w:val="-6"/>
          <w:sz w:val="32"/>
          <w:szCs w:val="32"/>
          <w:shd w:val="clear" w:color="auto" w:fill="FFFFFF"/>
          <w:lang w:eastAsia="zh-CN"/>
        </w:rPr>
        <w:t>，</w:t>
      </w:r>
      <w:r>
        <w:rPr>
          <w:rFonts w:hint="eastAsia" w:ascii="方正仿宋_GBK" w:hAnsi="方正仿宋_GBK" w:eastAsia="方正仿宋_GBK" w:cs="方正仿宋_GBK"/>
          <w:color w:val="000000"/>
          <w:spacing w:val="-6"/>
          <w:sz w:val="32"/>
          <w:szCs w:val="32"/>
          <w:shd w:val="clear" w:color="auto" w:fill="FFFFFF"/>
        </w:rPr>
        <w:t>我方愿以</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rPr>
        <w:t>万元</w:t>
      </w:r>
      <w:r>
        <w:rPr>
          <w:rFonts w:hint="eastAsia" w:ascii="方正仿宋_GBK" w:hAnsi="方正仿宋_GBK" w:eastAsia="方正仿宋_GBK" w:cs="方正仿宋_GBK"/>
          <w:color w:val="000000"/>
          <w:spacing w:val="-6"/>
          <w:sz w:val="32"/>
          <w:szCs w:val="32"/>
          <w:shd w:val="clear" w:color="auto" w:fill="FFFFFF"/>
          <w:lang w:eastAsia="zh-CN"/>
        </w:rPr>
        <w:t>提供</w:t>
      </w:r>
    </w:p>
    <w:p>
      <w:pPr>
        <w:numPr>
          <w:ilvl w:val="0"/>
          <w:numId w:val="0"/>
        </w:numPr>
        <w:spacing w:line="560" w:lineRule="exact"/>
        <w:ind w:right="-210" w:rightChars="-100"/>
        <w:jc w:val="left"/>
        <w:rPr>
          <w:rFonts w:hint="eastAsia" w:ascii="方正仿宋_GBK" w:hAnsi="方正仿宋_GBK" w:eastAsia="方正仿宋_GBK" w:cs="方正仿宋_GBK"/>
          <w:color w:val="000000"/>
          <w:spacing w:val="-6"/>
          <w:sz w:val="32"/>
          <w:szCs w:val="32"/>
          <w:u w:val="none"/>
          <w:shd w:val="clear" w:color="auto" w:fill="FFFFFF"/>
        </w:rPr>
      </w:pPr>
      <w:r>
        <w:rPr>
          <w:rFonts w:hint="eastAsia" w:ascii="方正仿宋_GBK" w:hAnsi="方正仿宋_GBK" w:eastAsia="方正仿宋_GBK" w:cs="方正仿宋_GBK"/>
          <w:color w:val="auto"/>
          <w:sz w:val="32"/>
          <w:szCs w:val="32"/>
          <w:lang w:val="en-US" w:eastAsia="zh-CN"/>
        </w:rPr>
        <w:t>重庆紫讯实业有限公司起诉重庆市龙洲湾资产经营管理有限公司建设工程施工合同纠纷案法律服务</w:t>
      </w:r>
      <w:r>
        <w:rPr>
          <w:rFonts w:hint="eastAsia" w:ascii="方正仿宋_GBK" w:hAnsi="方正仿宋_GBK" w:eastAsia="方正仿宋_GBK" w:cs="方正仿宋_GBK"/>
          <w:color w:val="000000"/>
          <w:spacing w:val="-6"/>
          <w:sz w:val="32"/>
          <w:szCs w:val="32"/>
          <w:shd w:val="clear" w:color="auto" w:fill="FFFFFF"/>
          <w:lang w:val="en-US" w:eastAsia="zh-CN"/>
        </w:rPr>
        <w:t>，其中一审为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万元，二审为</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shd w:val="clear" w:color="auto" w:fill="FFFFFF"/>
          <w:lang w:val="en-US" w:eastAsia="zh-CN"/>
        </w:rPr>
        <w:t>万元</w:t>
      </w:r>
      <w:r>
        <w:rPr>
          <w:rFonts w:hint="eastAsia" w:ascii="方正仿宋_GBK" w:hAnsi="方正仿宋_GBK" w:eastAsia="方正仿宋_GBK" w:cs="方正仿宋_GBK"/>
          <w:color w:val="000000"/>
          <w:spacing w:val="-6"/>
          <w:sz w:val="32"/>
          <w:szCs w:val="32"/>
          <w:shd w:val="clear" w:color="auto" w:fill="FFFFFF"/>
        </w:rPr>
        <w:t>。</w:t>
      </w:r>
    </w:p>
    <w:p>
      <w:pPr>
        <w:keepNext w:val="0"/>
        <w:keepLines w:val="0"/>
        <w:pageBreakBefore w:val="0"/>
        <w:widowControl w:val="0"/>
        <w:kinsoku/>
        <w:wordWrap/>
        <w:overflowPunct/>
        <w:topLinePunct w:val="0"/>
        <w:autoSpaceDE/>
        <w:autoSpaceDN/>
        <w:bidi w:val="0"/>
        <w:adjustRightInd/>
        <w:snapToGrid/>
        <w:spacing w:line="560" w:lineRule="exact"/>
        <w:ind w:firstLine="616" w:firstLineChars="200"/>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二、本报价</w:t>
      </w:r>
      <w:r>
        <w:rPr>
          <w:rFonts w:hint="eastAsia" w:ascii="方正仿宋_GBK" w:hAnsi="方正仿宋_GBK" w:eastAsia="方正仿宋_GBK" w:cs="方正仿宋_GBK"/>
          <w:color w:val="000000"/>
          <w:spacing w:val="-6"/>
          <w:sz w:val="32"/>
          <w:szCs w:val="32"/>
          <w:shd w:val="clear" w:color="auto" w:fill="FFFFFF"/>
          <w:lang w:eastAsia="zh-CN"/>
        </w:rPr>
        <w:t>为包干价，</w:t>
      </w:r>
      <w:r>
        <w:rPr>
          <w:rFonts w:hint="eastAsia" w:ascii="方正仿宋_GBK" w:hAnsi="方正仿宋_GBK" w:eastAsia="方正仿宋_GBK" w:cs="方正仿宋_GBK"/>
          <w:color w:val="000000"/>
          <w:spacing w:val="-6"/>
          <w:sz w:val="32"/>
          <w:szCs w:val="32"/>
          <w:shd w:val="clear" w:color="auto" w:fill="FFFFFF"/>
        </w:rPr>
        <w:t>包括公告内所有工作内容。</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pStyle w:val="2"/>
        <w:rPr>
          <w:rFonts w:hint="eastAsia" w:ascii="方正仿宋_GBK" w:hAnsi="方正仿宋_GBK" w:eastAsia="方正仿宋_GBK" w:cs="方正仿宋_GBK"/>
          <w:color w:val="000000"/>
          <w:spacing w:val="-6"/>
          <w:sz w:val="32"/>
          <w:szCs w:val="32"/>
          <w:shd w:val="clear" w:color="auto" w:fill="FFFFFF"/>
        </w:rPr>
      </w:pPr>
    </w:p>
    <w:p>
      <w:pPr>
        <w:rPr>
          <w:rFonts w:hint="eastAsia"/>
          <w:color w:val="auto"/>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报价单位：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（盖章）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联 系 人： </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u w:val="single"/>
          <w:shd w:val="clear" w:color="auto" w:fill="FFFFFF"/>
          <w:lang w:val="en-US" w:eastAsia="zh-CN"/>
        </w:rPr>
        <w:t xml:space="preserve">          </w:t>
      </w:r>
      <w:r>
        <w:rPr>
          <w:rFonts w:hint="eastAsia" w:ascii="方正仿宋_GBK" w:hAnsi="方正仿宋_GBK" w:eastAsia="方正仿宋_GBK" w:cs="方正仿宋_GBK"/>
          <w:color w:val="000000"/>
          <w:spacing w:val="-6"/>
          <w:sz w:val="32"/>
          <w:szCs w:val="32"/>
          <w:u w:val="single"/>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电    话：</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435"/>
        <w:textAlignment w:val="auto"/>
        <w:outlineLvl w:val="9"/>
        <w:rPr>
          <w:rFonts w:hint="eastAsia" w:ascii="方正仿宋_GBK" w:hAnsi="方正仿宋_GBK" w:eastAsia="方正仿宋_GBK" w:cs="方正仿宋_GBK"/>
          <w:color w:val="000000"/>
          <w:spacing w:val="-6"/>
          <w:sz w:val="32"/>
          <w:szCs w:val="32"/>
          <w:shd w:val="clear" w:color="auto" w:fill="FFFFFF"/>
        </w:rPr>
      </w:pPr>
      <w:r>
        <w:rPr>
          <w:rFonts w:hint="eastAsia" w:ascii="方正仿宋_GBK" w:hAnsi="方正仿宋_GBK" w:eastAsia="方正仿宋_GBK" w:cs="方正仿宋_GBK"/>
          <w:color w:val="000000"/>
          <w:spacing w:val="-6"/>
          <w:sz w:val="32"/>
          <w:szCs w:val="32"/>
          <w:shd w:val="clear" w:color="auto" w:fill="FFFFFF"/>
        </w:rPr>
        <w:t xml:space="preserve">                      日    期：</w:t>
      </w:r>
      <w:r>
        <w:rPr>
          <w:rFonts w:hint="eastAsia" w:ascii="方正仿宋_GBK" w:hAnsi="方正仿宋_GBK" w:eastAsia="方正仿宋_GBK" w:cs="方正仿宋_GBK"/>
          <w:color w:val="000000"/>
          <w:spacing w:val="-6"/>
          <w:sz w:val="32"/>
          <w:szCs w:val="32"/>
          <w:u w:val="single"/>
          <w:shd w:val="clear" w:color="auto" w:fill="FFFFFF"/>
        </w:rPr>
        <w:t xml:space="preserve">                         </w:t>
      </w:r>
      <w:r>
        <w:rPr>
          <w:rFonts w:hint="eastAsia" w:ascii="方正仿宋_GBK" w:hAnsi="方正仿宋_GBK" w:eastAsia="方正仿宋_GBK" w:cs="方正仿宋_GBK"/>
          <w:color w:val="000000"/>
          <w:spacing w:val="-6"/>
          <w:sz w:val="32"/>
          <w:szCs w:val="32"/>
          <w:shd w:val="clear" w:color="auto" w:fill="FFFFFF"/>
        </w:rPr>
        <w:t xml:space="preserve">    </w:t>
      </w:r>
    </w:p>
    <w:p>
      <w:pPr>
        <w:pStyle w:val="4"/>
        <w:widowControl/>
        <w:spacing w:line="560" w:lineRule="exact"/>
        <w:ind w:firstLine="640" w:firstLineChars="200"/>
        <w:rPr>
          <w:rFonts w:hint="eastAsia" w:ascii="方正仿宋_GBK" w:eastAsia="方正仿宋_GBK"/>
          <w:color w:val="auto"/>
          <w:sz w:val="32"/>
          <w:szCs w:val="32"/>
        </w:rPr>
      </w:pPr>
    </w:p>
    <w:p>
      <w:pPr>
        <w:pStyle w:val="4"/>
        <w:widowControl/>
        <w:spacing w:line="560" w:lineRule="exact"/>
        <w:rPr>
          <w:rFonts w:hint="eastAsia" w:ascii="方正仿宋_GBK" w:eastAsia="方正仿宋_GBK"/>
          <w:color w:val="auto"/>
          <w:sz w:val="32"/>
          <w:szCs w:val="32"/>
          <w:lang w:eastAsia="zh-CN"/>
        </w:rPr>
      </w:pP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A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5E8274"/>
    <w:multiLevelType w:val="singleLevel"/>
    <w:tmpl w:val="665E8274"/>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151F94"/>
    <w:rsid w:val="20151F9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3"/>
    <w:basedOn w:val="1"/>
    <w:next w:val="1"/>
    <w:unhideWhenUsed/>
    <w:qFormat/>
    <w:uiPriority w:val="0"/>
    <w:pPr>
      <w:keepNext/>
      <w:keepLines/>
      <w:widowControl w:val="0"/>
      <w:spacing w:before="260" w:after="260" w:line="412" w:lineRule="auto"/>
      <w:outlineLvl w:val="2"/>
    </w:pPr>
    <w:rPr>
      <w:b/>
      <w:sz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footer"/>
    <w:basedOn w:val="1"/>
    <w:qFormat/>
    <w:uiPriority w:val="99"/>
    <w:pPr>
      <w:tabs>
        <w:tab w:val="center" w:pos="4153"/>
        <w:tab w:val="right" w:pos="8306"/>
      </w:tabs>
      <w:snapToGrid w:val="0"/>
      <w:jc w:val="left"/>
    </w:pPr>
    <w:rPr>
      <w:sz w:val="18"/>
      <w:szCs w:val="18"/>
    </w:r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Office_11.8.6.8810_F1E327BC-269C-435d-A152-05C5408002CA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2025-11-14T02:25:00Z</dcterms:created>
  <dc:creator>Administrator</dc:creator>
  <cp:lastModifiedBy>Administrator</cp:lastModifiedBy>
  <dcterms:modified xsi:type="dcterms:W3CDTF">2025-11-14T02:25:26Z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2052-11.8.6.8810</vt:lpwstr>
  </property>
</Properties>
</file>