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right="0" w:rightChars="0"/>
        <w:jc w:val="both"/>
        <w:textAlignment w:val="auto"/>
        <w:outlineLvl w:val="9"/>
        <w:rPr>
          <w:rFonts w:hint="default" w:ascii="方正黑体_GBK" w:hAnsi="方正黑体_GBK" w:eastAsia="方正黑体_GBK" w:cs="方正黑体_GBK"/>
          <w:i w:val="0"/>
          <w:caps w:val="0"/>
          <w:color w:val="000000" w:themeColor="text1"/>
          <w:spacing w:val="0"/>
          <w:sz w:val="32"/>
          <w:szCs w:val="32"/>
          <w:lang w:val="en-US" w:eastAsia="zh-CN"/>
          <w14:textFill>
            <w14:solidFill>
              <w14:schemeClr w14:val="tx1"/>
            </w14:solidFill>
          </w14:textFill>
        </w:rPr>
      </w:pPr>
      <w:r>
        <w:rPr>
          <w:rFonts w:hint="eastAsia" w:ascii="方正黑体_GBK" w:hAnsi="方正黑体_GBK" w:eastAsia="方正黑体_GBK" w:cs="方正黑体_GBK"/>
          <w:i w:val="0"/>
          <w:caps w:val="0"/>
          <w:color w:val="000000" w:themeColor="text1"/>
          <w:spacing w:val="0"/>
          <w:sz w:val="32"/>
          <w:szCs w:val="32"/>
          <w:lang w:val="en-US" w:eastAsia="zh-CN"/>
          <w14:textFill>
            <w14:solidFill>
              <w14:schemeClr w14:val="tx1"/>
            </w14:solidFill>
          </w14:textFill>
        </w:rPr>
        <w:t xml:space="preserve">附件2 </w:t>
      </w:r>
    </w:p>
    <w:tbl>
      <w:tblPr>
        <w:tblStyle w:val="5"/>
        <w:tblW w:w="9720" w:type="dxa"/>
        <w:tblInd w:w="-26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0"/>
        <w:gridCol w:w="909"/>
        <w:gridCol w:w="2804"/>
        <w:gridCol w:w="50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trPr>
        <w:tc>
          <w:tcPr>
            <w:tcW w:w="9720" w:type="dxa"/>
            <w:gridSpan w:val="4"/>
            <w:vAlign w:val="center"/>
          </w:tcPr>
          <w:p>
            <w:pPr>
              <w:keepNext w:val="0"/>
              <w:keepLines w:val="0"/>
              <w:pageBreakBefore w:val="0"/>
              <w:widowControl w:val="0"/>
              <w:kinsoku/>
              <w:wordWrap/>
              <w:overflowPunct/>
              <w:topLinePunct w:val="0"/>
              <w:autoSpaceDE/>
              <w:autoSpaceDN/>
              <w:bidi w:val="0"/>
              <w:adjustRightInd/>
              <w:snapToGrid/>
              <w:spacing w:line="400" w:lineRule="exact"/>
              <w:ind w:firstLine="28"/>
              <w:jc w:val="center"/>
              <w:textAlignment w:val="auto"/>
              <w:rPr>
                <w:rFonts w:hint="eastAsia" w:ascii="方正仿宋_GBK" w:hAnsi="宋体" w:eastAsia="方正仿宋_GBK" w:cs="宋体"/>
                <w:color w:val="000000" w:themeColor="text1"/>
                <w:kern w:val="0"/>
                <w:sz w:val="24"/>
                <w:highlight w:val="none"/>
                <w:lang w:eastAsia="zh-CN"/>
                <w14:textFill>
                  <w14:solidFill>
                    <w14:schemeClr w14:val="tx1"/>
                  </w14:solidFill>
                </w14:textFill>
              </w:rPr>
            </w:pPr>
            <w:r>
              <w:rPr>
                <w:rFonts w:hint="eastAsia" w:ascii="方正小标宋_GBK" w:hAnsi="方正小标宋_GBK" w:eastAsia="方正小标宋_GBK" w:cs="方正小标宋_GBK"/>
                <w:color w:val="000000" w:themeColor="text1"/>
                <w:kern w:val="0"/>
                <w:sz w:val="36"/>
                <w:szCs w:val="36"/>
                <w:highlight w:val="none"/>
                <w:lang w:eastAsia="zh-CN"/>
                <w14:textFill>
                  <w14:solidFill>
                    <w14:schemeClr w14:val="tx1"/>
                  </w14:solidFill>
                </w14:textFill>
              </w:rPr>
              <w:t>供应商考核表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910" w:type="dxa"/>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序号</w:t>
            </w:r>
          </w:p>
        </w:tc>
        <w:tc>
          <w:tcPr>
            <w:tcW w:w="909" w:type="dxa"/>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项目</w:t>
            </w:r>
          </w:p>
        </w:tc>
        <w:tc>
          <w:tcPr>
            <w:tcW w:w="2804" w:type="dxa"/>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考核指标</w:t>
            </w:r>
          </w:p>
        </w:tc>
        <w:tc>
          <w:tcPr>
            <w:tcW w:w="5097" w:type="dxa"/>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考核说明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8" w:hRule="atLeast"/>
        </w:trPr>
        <w:tc>
          <w:tcPr>
            <w:tcW w:w="910" w:type="dxa"/>
            <w:vMerge w:val="restart"/>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1</w:t>
            </w:r>
          </w:p>
        </w:tc>
        <w:tc>
          <w:tcPr>
            <w:tcW w:w="909" w:type="dxa"/>
            <w:vMerge w:val="restart"/>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货品质量</w:t>
            </w:r>
          </w:p>
        </w:tc>
        <w:tc>
          <w:tcPr>
            <w:tcW w:w="2804" w:type="dxa"/>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配送货物质量合格</w:t>
            </w:r>
          </w:p>
        </w:tc>
        <w:tc>
          <w:tcPr>
            <w:tcW w:w="5097" w:type="dxa"/>
            <w:vAlign w:val="center"/>
          </w:tcPr>
          <w:p>
            <w:pPr>
              <w:spacing w:line="300" w:lineRule="exact"/>
              <w:ind w:firstLine="28"/>
              <w:jc w:val="left"/>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出现质量问题的，每个单品一次扣</w:t>
            </w:r>
            <w:r>
              <w:rPr>
                <w:rFonts w:ascii="方正仿宋_GBK" w:hAnsi="宋体" w:eastAsia="方正仿宋_GBK" w:cs="宋体"/>
                <w:color w:val="000000" w:themeColor="text1"/>
                <w:kern w:val="0"/>
                <w:sz w:val="24"/>
                <w:highlight w:val="none"/>
                <w14:textFill>
                  <w14:solidFill>
                    <w14:schemeClr w14:val="tx1"/>
                  </w14:solidFill>
                </w14:textFill>
              </w:rPr>
              <w:t>2</w:t>
            </w:r>
            <w:r>
              <w:rPr>
                <w:rFonts w:hint="eastAsia" w:ascii="方正仿宋_GBK" w:hAnsi="宋体" w:eastAsia="方正仿宋_GBK" w:cs="宋体"/>
                <w:color w:val="000000" w:themeColor="text1"/>
                <w:kern w:val="0"/>
                <w:sz w:val="24"/>
                <w:highlight w:val="none"/>
                <w14:textFill>
                  <w14:solidFill>
                    <w14:schemeClr w14:val="tx1"/>
                  </w14:solidFill>
                </w14:textFill>
              </w:rPr>
              <w:t>分并做退货处理；出现以次充好、夹带的，每个单品一次扣2分。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4" w:hRule="atLeast"/>
        </w:trPr>
        <w:tc>
          <w:tcPr>
            <w:tcW w:w="910" w:type="dxa"/>
            <w:vMerge w:val="continue"/>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p>
        </w:tc>
        <w:tc>
          <w:tcPr>
            <w:tcW w:w="909" w:type="dxa"/>
            <w:vMerge w:val="continue"/>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p>
        </w:tc>
        <w:tc>
          <w:tcPr>
            <w:tcW w:w="2804" w:type="dxa"/>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配送品种、品牌、规格、品质等符合约定标准的货物</w:t>
            </w:r>
          </w:p>
        </w:tc>
        <w:tc>
          <w:tcPr>
            <w:tcW w:w="5097" w:type="dxa"/>
            <w:vAlign w:val="center"/>
          </w:tcPr>
          <w:p>
            <w:pPr>
              <w:spacing w:line="300" w:lineRule="exact"/>
              <w:ind w:firstLine="28"/>
              <w:jc w:val="left"/>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未经同意不得随意更换货物的品牌、品种、规格、型号等，随意更换的，每个单品一次扣2分并做退货处理</w:t>
            </w:r>
            <w:r>
              <w:rPr>
                <w:rFonts w:hint="eastAsia" w:ascii="方正仿宋_GBK" w:hAnsi="宋体" w:eastAsia="方正仿宋_GBK" w:cs="宋体"/>
                <w:color w:val="000000" w:themeColor="text1"/>
                <w:kern w:val="0"/>
                <w:sz w:val="24"/>
                <w:highlight w:val="none"/>
                <w:lang w:eastAsia="zh-CN"/>
                <w14:textFill>
                  <w14:solidFill>
                    <w14:schemeClr w14:val="tx1"/>
                  </w14:solidFill>
                </w14:textFill>
              </w:rPr>
              <w:t>。原则上</w:t>
            </w:r>
            <w:r>
              <w:rPr>
                <w:rFonts w:hint="eastAsia" w:ascii="方正仿宋_GBK" w:hAnsi="宋体" w:eastAsia="方正仿宋_GBK" w:cs="宋体"/>
                <w:color w:val="000000" w:themeColor="text1"/>
                <w:kern w:val="0"/>
                <w:sz w:val="24"/>
                <w:highlight w:val="none"/>
                <w14:textFill>
                  <w14:solidFill>
                    <w14:schemeClr w14:val="tx1"/>
                  </w14:solidFill>
                </w14:textFill>
              </w:rPr>
              <w:t>同品牌同品种同批次的货物配送时</w:t>
            </w:r>
            <w:r>
              <w:rPr>
                <w:rFonts w:hint="eastAsia" w:ascii="方正仿宋_GBK" w:hAnsi="宋体" w:eastAsia="方正仿宋_GBK" w:cs="宋体"/>
                <w:color w:val="000000" w:themeColor="text1"/>
                <w:kern w:val="0"/>
                <w:sz w:val="24"/>
                <w:highlight w:val="none"/>
                <w:lang w:eastAsia="zh-CN"/>
                <w14:textFill>
                  <w14:solidFill>
                    <w14:schemeClr w14:val="tx1"/>
                  </w14:solidFill>
                </w14:textFill>
              </w:rPr>
              <w:t>应</w:t>
            </w:r>
            <w:r>
              <w:rPr>
                <w:rFonts w:hint="eastAsia" w:ascii="方正仿宋_GBK" w:hAnsi="宋体" w:eastAsia="方正仿宋_GBK" w:cs="宋体"/>
                <w:color w:val="000000" w:themeColor="text1"/>
                <w:kern w:val="0"/>
                <w:sz w:val="24"/>
                <w:highlight w:val="none"/>
                <w14:textFill>
                  <w14:solidFill>
                    <w14:schemeClr w14:val="tx1"/>
                  </w14:solidFill>
                </w14:textFill>
              </w:rPr>
              <w:t>保持型号（大小）一致，随意更换、以次充好，每个单品扣2分。供应商以无货品、无利润为由，拒绝配送货物，每个单品一次扣3分。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4" w:hRule="atLeast"/>
        </w:trPr>
        <w:tc>
          <w:tcPr>
            <w:tcW w:w="910" w:type="dxa"/>
            <w:vMerge w:val="continue"/>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p>
        </w:tc>
        <w:tc>
          <w:tcPr>
            <w:tcW w:w="909" w:type="dxa"/>
            <w:vMerge w:val="continue"/>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p>
        </w:tc>
        <w:tc>
          <w:tcPr>
            <w:tcW w:w="2804" w:type="dxa"/>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配送具备相关产品信息的货物（包括生产日期、保质期、生产厂家、QS标志、生产许可证号等）</w:t>
            </w:r>
          </w:p>
        </w:tc>
        <w:tc>
          <w:tcPr>
            <w:tcW w:w="5097" w:type="dxa"/>
            <w:vAlign w:val="center"/>
          </w:tcPr>
          <w:p>
            <w:pPr>
              <w:spacing w:line="300" w:lineRule="exact"/>
              <w:ind w:firstLine="28"/>
              <w:jc w:val="left"/>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 xml:space="preserve">货物应有相关产品信息（包括生产日期、保质期、生产厂家、QS标志、生产许可证号等）,如没有，每个单品每次扣2分。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1" w:hRule="atLeast"/>
        </w:trPr>
        <w:tc>
          <w:tcPr>
            <w:tcW w:w="910" w:type="dxa"/>
            <w:vMerge w:val="restart"/>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2</w:t>
            </w:r>
          </w:p>
        </w:tc>
        <w:tc>
          <w:tcPr>
            <w:tcW w:w="909" w:type="dxa"/>
            <w:vMerge w:val="restart"/>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服务质量</w:t>
            </w:r>
          </w:p>
        </w:tc>
        <w:tc>
          <w:tcPr>
            <w:tcW w:w="2804" w:type="dxa"/>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配送时间</w:t>
            </w:r>
          </w:p>
        </w:tc>
        <w:tc>
          <w:tcPr>
            <w:tcW w:w="5097" w:type="dxa"/>
            <w:vAlign w:val="center"/>
          </w:tcPr>
          <w:p>
            <w:pPr>
              <w:spacing w:line="300" w:lineRule="exact"/>
              <w:ind w:firstLine="28"/>
              <w:jc w:val="left"/>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应急（特别）保障任务必须按照约定时间送达，迟到30分钟内，每次扣</w:t>
            </w:r>
            <w:r>
              <w:rPr>
                <w:rFonts w:hint="eastAsia" w:ascii="方正仿宋_GBK" w:hAnsi="宋体" w:eastAsia="方正仿宋_GBK" w:cs="宋体"/>
                <w:color w:val="000000" w:themeColor="text1"/>
                <w:kern w:val="0"/>
                <w:sz w:val="24"/>
                <w:highlight w:val="none"/>
                <w:lang w:val="en-US" w:eastAsia="zh-CN"/>
                <w14:textFill>
                  <w14:solidFill>
                    <w14:schemeClr w14:val="tx1"/>
                  </w14:solidFill>
                </w14:textFill>
              </w:rPr>
              <w:t>3</w:t>
            </w:r>
            <w:r>
              <w:rPr>
                <w:rFonts w:hint="eastAsia" w:ascii="方正仿宋_GBK" w:hAnsi="宋体" w:eastAsia="方正仿宋_GBK" w:cs="宋体"/>
                <w:color w:val="000000" w:themeColor="text1"/>
                <w:kern w:val="0"/>
                <w:sz w:val="24"/>
                <w:highlight w:val="none"/>
                <w14:textFill>
                  <w14:solidFill>
                    <w14:schemeClr w14:val="tx1"/>
                  </w14:solidFill>
                </w14:textFill>
              </w:rPr>
              <w:t>分；</w:t>
            </w:r>
            <w:r>
              <w:rPr>
                <w:rFonts w:hint="eastAsia" w:ascii="方正仿宋_GBK" w:hAnsi="宋体" w:eastAsia="方正仿宋_GBK" w:cs="宋体"/>
                <w:color w:val="000000" w:themeColor="text1"/>
                <w:kern w:val="0"/>
                <w:sz w:val="24"/>
                <w:highlight w:val="none"/>
                <w:lang w:eastAsia="zh-CN"/>
                <w14:textFill>
                  <w14:solidFill>
                    <w14:schemeClr w14:val="tx1"/>
                  </w14:solidFill>
                </w14:textFill>
              </w:rPr>
              <w:t>日常供货</w:t>
            </w:r>
            <w:r>
              <w:rPr>
                <w:rFonts w:hint="eastAsia" w:ascii="方正仿宋_GBK" w:hAnsi="宋体" w:eastAsia="方正仿宋_GBK" w:cs="宋体"/>
                <w:color w:val="000000" w:themeColor="text1"/>
                <w:kern w:val="0"/>
                <w:sz w:val="24"/>
                <w:highlight w:val="none"/>
                <w14:textFill>
                  <w14:solidFill>
                    <w14:schemeClr w14:val="tx1"/>
                  </w14:solidFill>
                </w14:textFill>
              </w:rPr>
              <w:t>迟到30分钟以上每次扣</w:t>
            </w:r>
            <w:r>
              <w:rPr>
                <w:rFonts w:ascii="方正仿宋_GBK" w:hAnsi="宋体" w:eastAsia="方正仿宋_GBK" w:cs="宋体"/>
                <w:color w:val="000000" w:themeColor="text1"/>
                <w:kern w:val="0"/>
                <w:sz w:val="24"/>
                <w:highlight w:val="none"/>
                <w14:textFill>
                  <w14:solidFill>
                    <w14:schemeClr w14:val="tx1"/>
                  </w14:solidFill>
                </w14:textFill>
              </w:rPr>
              <w:t>1</w:t>
            </w:r>
            <w:r>
              <w:rPr>
                <w:rFonts w:hint="eastAsia" w:ascii="方正仿宋_GBK" w:hAnsi="宋体" w:eastAsia="方正仿宋_GBK" w:cs="宋体"/>
                <w:color w:val="000000" w:themeColor="text1"/>
                <w:kern w:val="0"/>
                <w:sz w:val="24"/>
                <w:highlight w:val="none"/>
                <w14:textFill>
                  <w14:solidFill>
                    <w14:schemeClr w14:val="tx1"/>
                  </w14:solidFill>
                </w14:textFill>
              </w:rPr>
              <w:t>分</w:t>
            </w:r>
            <w:r>
              <w:rPr>
                <w:rFonts w:hint="eastAsia" w:ascii="方正仿宋_GBK" w:hAnsi="宋体" w:eastAsia="方正仿宋_GBK" w:cs="宋体"/>
                <w:color w:val="000000" w:themeColor="text1"/>
                <w:kern w:val="0"/>
                <w:sz w:val="24"/>
                <w:highlight w:val="none"/>
                <w:lang w:eastAsia="zh-CN"/>
                <w14:textFill>
                  <w14:solidFill>
                    <w14:schemeClr w14:val="tx1"/>
                  </w14:solidFill>
                </w14:textFill>
              </w:rPr>
              <w:t>，</w:t>
            </w:r>
            <w:r>
              <w:rPr>
                <w:rFonts w:hint="eastAsia" w:ascii="方正仿宋_GBK" w:hAnsi="宋体" w:eastAsia="方正仿宋_GBK" w:cs="宋体"/>
                <w:color w:val="000000" w:themeColor="text1"/>
                <w:kern w:val="0"/>
                <w:sz w:val="24"/>
                <w:highlight w:val="none"/>
                <w14:textFill>
                  <w14:solidFill>
                    <w14:schemeClr w14:val="tx1"/>
                  </w14:solidFill>
                </w14:textFill>
              </w:rPr>
              <w:t>影响开餐的（含因时间关系更换菜品、改变制作方式、延误开餐等情况）一次扣</w:t>
            </w:r>
            <w:r>
              <w:rPr>
                <w:rFonts w:ascii="方正仿宋_GBK" w:hAnsi="宋体" w:eastAsia="方正仿宋_GBK" w:cs="宋体"/>
                <w:color w:val="000000" w:themeColor="text1"/>
                <w:kern w:val="0"/>
                <w:sz w:val="24"/>
                <w:highlight w:val="none"/>
                <w14:textFill>
                  <w14:solidFill>
                    <w14:schemeClr w14:val="tx1"/>
                  </w14:solidFill>
                </w14:textFill>
              </w:rPr>
              <w:t>2</w:t>
            </w:r>
            <w:r>
              <w:rPr>
                <w:rFonts w:hint="eastAsia" w:ascii="方正仿宋_GBK" w:hAnsi="宋体" w:eastAsia="方正仿宋_GBK" w:cs="宋体"/>
                <w:color w:val="000000" w:themeColor="text1"/>
                <w:kern w:val="0"/>
                <w:sz w:val="24"/>
                <w:highlight w:val="none"/>
                <w14:textFill>
                  <w14:solidFill>
                    <w14:schemeClr w14:val="tx1"/>
                  </w14:solidFill>
                </w14:textFill>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5" w:hRule="atLeast"/>
        </w:trPr>
        <w:tc>
          <w:tcPr>
            <w:tcW w:w="910" w:type="dxa"/>
            <w:vMerge w:val="continue"/>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p>
        </w:tc>
        <w:tc>
          <w:tcPr>
            <w:tcW w:w="909" w:type="dxa"/>
            <w:vMerge w:val="continue"/>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p>
        </w:tc>
        <w:tc>
          <w:tcPr>
            <w:tcW w:w="2804" w:type="dxa"/>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漏送货情况，退换、补货情况</w:t>
            </w:r>
          </w:p>
        </w:tc>
        <w:tc>
          <w:tcPr>
            <w:tcW w:w="5097" w:type="dxa"/>
            <w:vAlign w:val="center"/>
          </w:tcPr>
          <w:p>
            <w:pPr>
              <w:spacing w:line="300" w:lineRule="exact"/>
              <w:ind w:firstLine="28"/>
              <w:jc w:val="left"/>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漏送货在不影响开餐的情况下，每周第一次做警告提醒，第二次起每次扣1分，超过三个品种的每次扣2分；因漏送货、退货等原因导致货物不足的，必须按照规定时间补足货物，因未补足货物影响开餐的（含因时间关系更换菜品、改变制作方式、延误开餐等情况）一次扣</w:t>
            </w:r>
            <w:r>
              <w:rPr>
                <w:rFonts w:ascii="方正仿宋_GBK" w:hAnsi="宋体" w:eastAsia="方正仿宋_GBK" w:cs="宋体"/>
                <w:color w:val="000000" w:themeColor="text1"/>
                <w:kern w:val="0"/>
                <w:sz w:val="24"/>
                <w:highlight w:val="none"/>
                <w14:textFill>
                  <w14:solidFill>
                    <w14:schemeClr w14:val="tx1"/>
                  </w14:solidFill>
                </w14:textFill>
              </w:rPr>
              <w:t>3</w:t>
            </w:r>
            <w:r>
              <w:rPr>
                <w:rFonts w:hint="eastAsia" w:ascii="方正仿宋_GBK" w:hAnsi="宋体" w:eastAsia="方正仿宋_GBK" w:cs="宋体"/>
                <w:color w:val="000000" w:themeColor="text1"/>
                <w:kern w:val="0"/>
                <w:sz w:val="24"/>
                <w:highlight w:val="none"/>
                <w14:textFill>
                  <w14:solidFill>
                    <w14:schemeClr w14:val="tx1"/>
                  </w14:solidFill>
                </w14:textFill>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4" w:hRule="atLeast"/>
        </w:trPr>
        <w:tc>
          <w:tcPr>
            <w:tcW w:w="910" w:type="dxa"/>
            <w:vMerge w:val="restart"/>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ascii="方正仿宋_GBK" w:hAnsi="宋体" w:eastAsia="方正仿宋_GBK" w:cs="宋体"/>
                <w:color w:val="000000" w:themeColor="text1"/>
                <w:kern w:val="0"/>
                <w:sz w:val="24"/>
                <w:highlight w:val="none"/>
                <w14:textFill>
                  <w14:solidFill>
                    <w14:schemeClr w14:val="tx1"/>
                  </w14:solidFill>
                </w14:textFill>
              </w:rPr>
              <w:t>3</w:t>
            </w:r>
          </w:p>
        </w:tc>
        <w:tc>
          <w:tcPr>
            <w:tcW w:w="909" w:type="dxa"/>
            <w:vMerge w:val="restart"/>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人员车辆管理</w:t>
            </w:r>
          </w:p>
        </w:tc>
        <w:tc>
          <w:tcPr>
            <w:tcW w:w="2804" w:type="dxa"/>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员工健康、个人卫生管理</w:t>
            </w:r>
          </w:p>
        </w:tc>
        <w:tc>
          <w:tcPr>
            <w:tcW w:w="5097" w:type="dxa"/>
            <w:vAlign w:val="center"/>
          </w:tcPr>
          <w:p>
            <w:pPr>
              <w:spacing w:line="300" w:lineRule="exact"/>
              <w:ind w:firstLine="28"/>
              <w:jc w:val="left"/>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员工需衣着整洁，个人清洁卫生干净，不符合要求一次扣1分；抽检配送员工的《健康证》，如没有的</w:t>
            </w:r>
            <w:r>
              <w:rPr>
                <w:rFonts w:hint="eastAsia" w:ascii="方正仿宋_GBK" w:hAnsi="宋体" w:eastAsia="方正仿宋_GBK" w:cs="宋体"/>
                <w:color w:val="000000" w:themeColor="text1"/>
                <w:kern w:val="0"/>
                <w:sz w:val="24"/>
                <w:highlight w:val="none"/>
                <w:lang w:eastAsia="zh-CN"/>
                <w14:textFill>
                  <w14:solidFill>
                    <w14:schemeClr w14:val="tx1"/>
                  </w14:solidFill>
                </w14:textFill>
              </w:rPr>
              <w:t>，一人每次</w:t>
            </w:r>
            <w:r>
              <w:rPr>
                <w:rFonts w:hint="eastAsia" w:ascii="方正仿宋_GBK" w:hAnsi="宋体" w:eastAsia="方正仿宋_GBK" w:cs="宋体"/>
                <w:color w:val="000000" w:themeColor="text1"/>
                <w:kern w:val="0"/>
                <w:sz w:val="24"/>
                <w:highlight w:val="none"/>
                <w14:textFill>
                  <w14:solidFill>
                    <w14:schemeClr w14:val="tx1"/>
                  </w14:solidFill>
                </w14:textFill>
              </w:rPr>
              <w:t>扣2分，并劝离工作岗位。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0" w:hRule="atLeast"/>
        </w:trPr>
        <w:tc>
          <w:tcPr>
            <w:tcW w:w="910" w:type="dxa"/>
            <w:vMerge w:val="continue"/>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p>
        </w:tc>
        <w:tc>
          <w:tcPr>
            <w:tcW w:w="909" w:type="dxa"/>
            <w:vMerge w:val="continue"/>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p>
        </w:tc>
        <w:tc>
          <w:tcPr>
            <w:tcW w:w="2804" w:type="dxa"/>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配送车辆管理</w:t>
            </w:r>
          </w:p>
        </w:tc>
        <w:tc>
          <w:tcPr>
            <w:tcW w:w="5097" w:type="dxa"/>
            <w:vAlign w:val="center"/>
          </w:tcPr>
          <w:p>
            <w:pPr>
              <w:spacing w:line="300" w:lineRule="exact"/>
              <w:ind w:firstLine="28"/>
              <w:jc w:val="left"/>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配送物流车必须干净整洁，外观破损或车内有明显异味一次扣0.5分，车内脏乱差一次扣1分。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5" w:hRule="atLeast"/>
        </w:trPr>
        <w:tc>
          <w:tcPr>
            <w:tcW w:w="910" w:type="dxa"/>
            <w:vMerge w:val="continue"/>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p>
        </w:tc>
        <w:tc>
          <w:tcPr>
            <w:tcW w:w="909" w:type="dxa"/>
            <w:vMerge w:val="continue"/>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p>
        </w:tc>
        <w:tc>
          <w:tcPr>
            <w:tcW w:w="2804" w:type="dxa"/>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人员管理</w:t>
            </w:r>
          </w:p>
        </w:tc>
        <w:tc>
          <w:tcPr>
            <w:tcW w:w="5097" w:type="dxa"/>
            <w:vAlign w:val="center"/>
          </w:tcPr>
          <w:p>
            <w:pPr>
              <w:snapToGrid w:val="0"/>
              <w:jc w:val="left"/>
              <w:rPr>
                <w:rFonts w:ascii="方正仿宋_GBK" w:hAnsi="宋体" w:eastAsia="仿宋_GB2312"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人员应执相关岗位资格证书，将人员配置的基本信息、身份证复印件、相关岗位资格证书送达采购人公司备案，人员配置不符合要求，每缺少1人次或无比选方案里相关资格证书的，缺少一个扣5分。人员变更的，应在变更后5个工作日内，将新资料送达备案，其中配送人员变更的</w:t>
            </w:r>
            <w:r>
              <w:rPr>
                <w:rFonts w:hint="eastAsia" w:ascii="方正仿宋_GBK" w:hAnsi="宋体" w:eastAsia="方正仿宋_GBK" w:cs="宋体"/>
                <w:color w:val="000000" w:themeColor="text1"/>
                <w:kern w:val="0"/>
                <w:sz w:val="24"/>
                <w:highlight w:val="none"/>
                <w:lang w:eastAsia="zh-CN"/>
                <w14:textFill>
                  <w14:solidFill>
                    <w14:schemeClr w14:val="tx1"/>
                  </w14:solidFill>
                </w14:textFill>
              </w:rPr>
              <w:t>应</w:t>
            </w:r>
            <w:r>
              <w:rPr>
                <w:rFonts w:hint="eastAsia" w:ascii="方正仿宋_GBK" w:hAnsi="宋体" w:eastAsia="方正仿宋_GBK" w:cs="宋体"/>
                <w:color w:val="000000" w:themeColor="text1"/>
                <w:kern w:val="0"/>
                <w:sz w:val="24"/>
                <w:highlight w:val="none"/>
                <w14:textFill>
                  <w14:solidFill>
                    <w14:schemeClr w14:val="tx1"/>
                  </w14:solidFill>
                </w14:textFill>
              </w:rPr>
              <w:t>提前5个工作日书面告知采购人并将新的配送人员资料及相关证件提前送达采购人，未按规定送达人员资料，每出现1次，扣2分。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5" w:hRule="atLeast"/>
        </w:trPr>
        <w:tc>
          <w:tcPr>
            <w:tcW w:w="910" w:type="dxa"/>
            <w:vMerge w:val="continue"/>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p>
        </w:tc>
        <w:tc>
          <w:tcPr>
            <w:tcW w:w="909" w:type="dxa"/>
            <w:vMerge w:val="continue"/>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p>
        </w:tc>
        <w:tc>
          <w:tcPr>
            <w:tcW w:w="2804" w:type="dxa"/>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应急任务</w:t>
            </w:r>
          </w:p>
        </w:tc>
        <w:tc>
          <w:tcPr>
            <w:tcW w:w="5097" w:type="dxa"/>
            <w:vAlign w:val="center"/>
          </w:tcPr>
          <w:p>
            <w:pPr>
              <w:spacing w:line="300" w:lineRule="exact"/>
              <w:ind w:firstLine="28"/>
              <w:jc w:val="left"/>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未按合同约定完成应急保障任务，每次扣4分。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atLeast"/>
        </w:trPr>
        <w:tc>
          <w:tcPr>
            <w:tcW w:w="910" w:type="dxa"/>
            <w:vMerge w:val="restart"/>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4</w:t>
            </w:r>
          </w:p>
        </w:tc>
        <w:tc>
          <w:tcPr>
            <w:tcW w:w="909" w:type="dxa"/>
            <w:vMerge w:val="restart"/>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其他</w:t>
            </w:r>
          </w:p>
        </w:tc>
        <w:tc>
          <w:tcPr>
            <w:tcW w:w="2804" w:type="dxa"/>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履行合同约定情况</w:t>
            </w:r>
          </w:p>
        </w:tc>
        <w:tc>
          <w:tcPr>
            <w:tcW w:w="5097" w:type="dxa"/>
            <w:vAlign w:val="center"/>
          </w:tcPr>
          <w:p>
            <w:pPr>
              <w:spacing w:line="300" w:lineRule="exact"/>
              <w:ind w:firstLine="28"/>
              <w:jc w:val="left"/>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合同、比选文件、供应商承诺书等约定或承诺的相关事项，未完成一项每次扣2分。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trPr>
        <w:tc>
          <w:tcPr>
            <w:tcW w:w="910" w:type="dxa"/>
            <w:vMerge w:val="continue"/>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p>
        </w:tc>
        <w:tc>
          <w:tcPr>
            <w:tcW w:w="909" w:type="dxa"/>
            <w:vMerge w:val="continue"/>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p>
        </w:tc>
        <w:tc>
          <w:tcPr>
            <w:tcW w:w="2804" w:type="dxa"/>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其他</w:t>
            </w:r>
          </w:p>
        </w:tc>
        <w:tc>
          <w:tcPr>
            <w:tcW w:w="5097" w:type="dxa"/>
            <w:vAlign w:val="center"/>
          </w:tcPr>
          <w:p>
            <w:pPr>
              <w:spacing w:line="300" w:lineRule="exact"/>
              <w:ind w:firstLine="28"/>
              <w:jc w:val="left"/>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违反机关管理规定被通报一次扣5分。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28" w:hRule="atLeast"/>
        </w:trPr>
        <w:tc>
          <w:tcPr>
            <w:tcW w:w="910" w:type="dxa"/>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5</w:t>
            </w:r>
          </w:p>
        </w:tc>
        <w:tc>
          <w:tcPr>
            <w:tcW w:w="909" w:type="dxa"/>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加分项目</w:t>
            </w:r>
          </w:p>
        </w:tc>
        <w:tc>
          <w:tcPr>
            <w:tcW w:w="2804" w:type="dxa"/>
            <w:vAlign w:val="center"/>
          </w:tcPr>
          <w:p>
            <w:pPr>
              <w:spacing w:line="300" w:lineRule="exact"/>
              <w:ind w:firstLine="28"/>
              <w:jc w:val="center"/>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应急任务</w:t>
            </w:r>
          </w:p>
        </w:tc>
        <w:tc>
          <w:tcPr>
            <w:tcW w:w="5097" w:type="dxa"/>
            <w:vAlign w:val="center"/>
          </w:tcPr>
          <w:p>
            <w:pPr>
              <w:spacing w:line="300" w:lineRule="exact"/>
              <w:ind w:firstLine="28"/>
              <w:jc w:val="left"/>
              <w:rPr>
                <w:rFonts w:ascii="方正仿宋_GBK" w:hAnsi="宋体" w:eastAsia="方正仿宋_GBK" w:cs="宋体"/>
                <w:color w:val="000000" w:themeColor="text1"/>
                <w:kern w:val="0"/>
                <w:sz w:val="24"/>
                <w:highlight w:val="none"/>
                <w14:textFill>
                  <w14:solidFill>
                    <w14:schemeClr w14:val="tx1"/>
                  </w14:solidFill>
                </w14:textFill>
              </w:rPr>
            </w:pPr>
            <w:r>
              <w:rPr>
                <w:rFonts w:hint="eastAsia" w:ascii="方正仿宋_GBK" w:hAnsi="宋体" w:eastAsia="方正仿宋_GBK" w:cs="宋体"/>
                <w:color w:val="000000" w:themeColor="text1"/>
                <w:kern w:val="0"/>
                <w:sz w:val="24"/>
                <w:highlight w:val="none"/>
                <w14:textFill>
                  <w14:solidFill>
                    <w14:schemeClr w14:val="tx1"/>
                  </w14:solidFill>
                </w14:textFill>
              </w:rPr>
              <w:t>顺利完成1小时内的应急保障任务，每次加4分；顺利完成2小时以内应急保障任务，每次加2分；顺利完成综合（大型）保障任务每次加4分。</w:t>
            </w:r>
          </w:p>
        </w:tc>
      </w:tr>
    </w:tbl>
    <w:p>
      <w:pPr>
        <w:rPr>
          <w:rFonts w:ascii="宋体" w:hAnsi="宋体" w:cs="宋体"/>
          <w:color w:val="000000" w:themeColor="text1"/>
          <w:sz w:val="24"/>
          <w:szCs w:val="24"/>
          <w14:textFill>
            <w14:solidFill>
              <w14:schemeClr w14:val="tx1"/>
            </w14:solidFill>
          </w14:textFill>
        </w:rPr>
      </w:pPr>
      <w:r>
        <w:rPr>
          <w:rFonts w:ascii="宋体" w:hAnsi="宋体" w:cs="宋体"/>
          <w:color w:val="000000" w:themeColor="text1"/>
          <w:sz w:val="24"/>
          <w:szCs w:val="24"/>
          <w14:textFill>
            <w14:solidFill>
              <w14:schemeClr w14:val="tx1"/>
            </w14:solidFill>
          </w14:textFill>
        </w:rPr>
        <w:br w:type="page"/>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02"/>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B41AA9"/>
    <w:rsid w:val="4AB41A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qFormat="1" w:uiPriority="99"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First Indent"/>
    <w:basedOn w:val="3"/>
    <w:next w:val="4"/>
    <w:unhideWhenUsed/>
    <w:qFormat/>
    <w:uiPriority w:val="99"/>
    <w:pPr>
      <w:spacing w:line="360" w:lineRule="auto"/>
      <w:ind w:firstLine="420"/>
    </w:pPr>
    <w:rPr>
      <w:rFonts w:ascii="宋体" w:hAnsi="宋体"/>
      <w:sz w:val="24"/>
    </w:rPr>
  </w:style>
  <w:style w:type="paragraph" w:styleId="3">
    <w:name w:val="Body Text"/>
    <w:basedOn w:val="1"/>
    <w:next w:val="1"/>
    <w:qFormat/>
    <w:uiPriority w:val="0"/>
    <w:rPr>
      <w:rFonts w:ascii="仿宋_GB2312" w:eastAsia="仿宋_GB2312"/>
      <w:sz w:val="32"/>
      <w:szCs w:val="24"/>
    </w:rPr>
  </w:style>
  <w:style w:type="paragraph" w:styleId="4">
    <w:name w:val="List 3"/>
    <w:basedOn w:val="1"/>
    <w:unhideWhenUsed/>
    <w:qFormat/>
    <w:uiPriority w:val="99"/>
    <w:pPr>
      <w:adjustRightInd w:val="0"/>
      <w:snapToGrid w:val="0"/>
      <w:spacing w:line="360" w:lineRule="auto"/>
      <w:ind w:left="100" w:leftChars="400" w:hanging="200" w:hangingChars="200"/>
    </w:pPr>
    <w:rPr>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2025-11-20T02:01:00Z</dcterms:created>
  <dc:creator>Administrator</dc:creator>
  <cp:lastModifiedBy>Administrator</cp:lastModifiedBy>
  <dcterms:modified xsi:type="dcterms:W3CDTF">2025-11-20T02:01:43Z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