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pPr>
      <w:r>
        <w:rPr>
          <w:rFonts w:hint="eastAsia" w:ascii="方正黑体_GBK" w:hAnsi="方正黑体_GBK" w:eastAsia="方正黑体_GBK" w:cs="方正黑体_GBK"/>
          <w:color w:val="000000" w:themeColor="text1"/>
          <w:sz w:val="32"/>
          <w:szCs w:val="32"/>
          <w:lang w:eastAsia="zh-CN"/>
          <w14:textFill>
            <w14:solidFill>
              <w14:schemeClr w14:val="tx1"/>
            </w14:solidFill>
          </w14:textFill>
        </w:rPr>
        <w:t>附件</w:t>
      </w:r>
      <w:r>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t>3</w:t>
      </w:r>
    </w:p>
    <w:p>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报价书</w:t>
      </w:r>
    </w:p>
    <w:p>
      <w:pPr>
        <w:jc w:val="both"/>
        <w:rPr>
          <w:rFonts w:hint="eastAsia" w:ascii="方正黑体_GBK" w:hAnsi="方正黑体_GBK" w:eastAsia="方正黑体_GBK" w:cs="方正黑体_GBK"/>
          <w:sz w:val="32"/>
          <w:szCs w:val="32"/>
        </w:rPr>
      </w:pPr>
    </w:p>
    <w:p>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重庆市巴南区固体废弃物运输有限公司</w:t>
      </w:r>
    </w:p>
    <w:p>
      <w:pPr>
        <w:pStyle w:val="8"/>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700" w:firstLineChars="200"/>
        <w:jc w:val="both"/>
        <w:textAlignment w:val="auto"/>
        <w:rPr>
          <w:rFonts w:hint="eastAsia" w:ascii="方正仿宋_GBK" w:hAnsi="方正仿宋_GBK" w:eastAsia="方正仿宋_GBK" w:cs="方正仿宋_GBK"/>
          <w:i w:val="0"/>
          <w:caps w:val="0"/>
          <w:color w:val="000000"/>
          <w:spacing w:val="15"/>
          <w:sz w:val="32"/>
          <w:szCs w:val="32"/>
          <w:shd w:val="clear" w:color="auto" w:fill="FFFFFF"/>
          <w:lang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根据你方发布的询价公告，经研究，我方愿以折扣：</w:t>
      </w:r>
      <w:r>
        <w:rPr>
          <w:rFonts w:hint="eastAsia" w:ascii="方正仿宋_GBK" w:hAnsi="方正仿宋_GBK" w:eastAsia="方正仿宋_GBK" w:cs="方正仿宋_GBK"/>
          <w:i w:val="0"/>
          <w:iCs w:val="0"/>
          <w:caps w:val="0"/>
          <w:color w:val="000000"/>
          <w:spacing w:val="15"/>
          <w:sz w:val="32"/>
          <w:szCs w:val="32"/>
          <w:u w:val="single"/>
          <w:shd w:val="clear" w:color="auto" w:fill="FFFFFF"/>
          <w:lang w:eastAsia="zh-CN"/>
        </w:rPr>
        <w:t xml:space="preserve"> </w:t>
      </w:r>
      <w:r>
        <w:rPr>
          <w:rFonts w:hint="eastAsia" w:ascii="方正仿宋_GBK" w:hAnsi="方正仿宋_GBK" w:eastAsia="方正仿宋_GBK" w:cs="方正仿宋_GBK"/>
          <w:i w:val="0"/>
          <w:iCs w:val="0"/>
          <w:caps w:val="0"/>
          <w:color w:val="000000"/>
          <w:spacing w:val="15"/>
          <w:sz w:val="32"/>
          <w:szCs w:val="32"/>
          <w:u w:val="single"/>
          <w:shd w:val="clear" w:color="auto" w:fill="FFFFFF"/>
          <w:lang w:val="en-US" w:eastAsia="zh-CN"/>
        </w:rPr>
        <w:t xml:space="preserve">    %</w:t>
      </w:r>
      <w:r>
        <w:rPr>
          <w:rFonts w:hint="eastAsia" w:ascii="方正仿宋_GBK" w:hAnsi="方正仿宋_GBK" w:eastAsia="方正仿宋_GBK" w:cs="方正仿宋_GBK"/>
          <w:i w:val="0"/>
          <w:iCs w:val="0"/>
          <w:caps w:val="0"/>
          <w:color w:val="000000"/>
          <w:spacing w:val="15"/>
          <w:sz w:val="32"/>
          <w:szCs w:val="32"/>
          <w:u w:val="none"/>
          <w:shd w:val="clear" w:color="auto" w:fill="FFFFFF"/>
          <w:lang w:val="en-US" w:eastAsia="zh-CN"/>
        </w:rPr>
        <w:t>（列如：90%）</w:t>
      </w:r>
      <w:r>
        <w:rPr>
          <w:rFonts w:hint="eastAsia" w:ascii="方正仿宋_GBK" w:hAnsi="方正仿宋_GBK" w:eastAsia="方正仿宋_GBK" w:cs="方正仿宋_GBK"/>
          <w:i w:val="0"/>
          <w:caps w:val="0"/>
          <w:color w:val="000000"/>
          <w:spacing w:val="15"/>
          <w:sz w:val="32"/>
          <w:szCs w:val="32"/>
          <w:shd w:val="clear" w:color="auto" w:fill="FFFFFF"/>
          <w:lang w:eastAsia="zh-CN"/>
        </w:rPr>
        <w:t>完成</w:t>
      </w:r>
      <w:r>
        <w:rPr>
          <w:rFonts w:hint="eastAsia" w:eastAsia="方正仿宋_GBK"/>
          <w:color w:val="000000" w:themeColor="text1"/>
          <w:sz w:val="32"/>
          <w:szCs w:val="32"/>
          <w:lang w:eastAsia="zh-CN"/>
          <w14:textFill>
            <w14:solidFill>
              <w14:schemeClr w14:val="tx1"/>
            </w14:solidFill>
          </w14:textFill>
        </w:rPr>
        <w:t>重庆市巴南区固体废弃物运输有限公司</w:t>
      </w:r>
      <w:r>
        <w:rPr>
          <w:rFonts w:hint="eastAsia" w:ascii="方正仿宋_GBK" w:hAnsi="方正仿宋_GBK" w:eastAsia="方正仿宋_GBK" w:cs="方正仿宋_GBK"/>
          <w:i w:val="0"/>
          <w:caps w:val="0"/>
          <w:color w:val="000000"/>
          <w:spacing w:val="15"/>
          <w:sz w:val="32"/>
          <w:szCs w:val="32"/>
          <w:shd w:val="clear" w:color="auto" w:fill="FFFFFF"/>
          <w:lang w:val="en-US" w:eastAsia="zh-CN"/>
        </w:rPr>
        <w:t>2026年食堂食材供应及配送</w:t>
      </w:r>
      <w:r>
        <w:rPr>
          <w:rFonts w:hint="eastAsia" w:ascii="方正仿宋_GBK" w:hAnsi="方正仿宋_GBK" w:eastAsia="方正仿宋_GBK" w:cs="方正仿宋_GBK"/>
          <w:i w:val="0"/>
          <w:caps w:val="0"/>
          <w:color w:val="000000"/>
          <w:spacing w:val="15"/>
          <w:sz w:val="32"/>
          <w:szCs w:val="32"/>
          <w:shd w:val="clear" w:color="auto" w:fill="FFFFFF"/>
          <w:lang w:eastAsia="zh-CN"/>
        </w:rPr>
        <w:t>工作。具体报价内容如下：</w:t>
      </w:r>
    </w:p>
    <w:tbl>
      <w:tblPr>
        <w:tblStyle w:val="9"/>
        <w:tblW w:w="8775" w:type="dxa"/>
        <w:tblInd w:w="0" w:type="dxa"/>
        <w:tblLayout w:type="fixed"/>
        <w:tblCellMar>
          <w:top w:w="0" w:type="dxa"/>
          <w:left w:w="0" w:type="dxa"/>
          <w:bottom w:w="0" w:type="dxa"/>
          <w:right w:w="0" w:type="dxa"/>
        </w:tblCellMar>
      </w:tblPr>
      <w:tblGrid>
        <w:gridCol w:w="1343"/>
        <w:gridCol w:w="4307"/>
        <w:gridCol w:w="1413"/>
        <w:gridCol w:w="1712"/>
      </w:tblGrid>
      <w:tr>
        <w:tblPrEx>
          <w:tblCellMar>
            <w:top w:w="0" w:type="dxa"/>
            <w:left w:w="0" w:type="dxa"/>
            <w:bottom w:w="0" w:type="dxa"/>
            <w:right w:w="0" w:type="dxa"/>
          </w:tblCellMar>
        </w:tblPrEx>
        <w:trPr>
          <w:trHeight w:val="1074" w:hRule="atLeast"/>
        </w:trPr>
        <w:tc>
          <w:tcPr>
            <w:tcW w:w="1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440" w:lineRule="exact"/>
              <w:jc w:val="center"/>
              <w:textAlignment w:val="center"/>
              <w:rPr>
                <w:rFonts w:eastAsia="方正仿宋_GBK"/>
                <w:color w:val="000000" w:themeColor="text1"/>
                <w:kern w:val="0"/>
                <w:sz w:val="32"/>
                <w:szCs w:val="32"/>
                <w14:textFill>
                  <w14:solidFill>
                    <w14:schemeClr w14:val="tx1"/>
                  </w14:solidFill>
                </w14:textFill>
              </w:rPr>
            </w:pPr>
            <w:r>
              <w:rPr>
                <w:rFonts w:hint="eastAsia" w:eastAsia="方正仿宋_GBK"/>
                <w:color w:val="000000" w:themeColor="text1"/>
                <w:kern w:val="0"/>
                <w:sz w:val="32"/>
                <w:szCs w:val="32"/>
                <w:lang w:eastAsia="zh-CN"/>
                <w14:textFill>
                  <w14:solidFill>
                    <w14:schemeClr w14:val="tx1"/>
                  </w14:solidFill>
                </w14:textFill>
              </w:rPr>
              <w:t>项目</w:t>
            </w:r>
            <w:r>
              <w:rPr>
                <w:rFonts w:eastAsia="方正仿宋_GBK"/>
                <w:color w:val="000000" w:themeColor="text1"/>
                <w:kern w:val="0"/>
                <w:sz w:val="32"/>
                <w:szCs w:val="32"/>
                <w14:textFill>
                  <w14:solidFill>
                    <w14:schemeClr w14:val="tx1"/>
                  </w14:solidFill>
                </w14:textFill>
              </w:rPr>
              <w:t>名称</w:t>
            </w:r>
          </w:p>
        </w:tc>
        <w:tc>
          <w:tcPr>
            <w:tcW w:w="4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440" w:lineRule="exact"/>
              <w:jc w:val="center"/>
              <w:textAlignment w:val="center"/>
              <w:rPr>
                <w:rFonts w:hint="eastAsia" w:eastAsia="方正仿宋_GBK"/>
                <w:color w:val="000000" w:themeColor="text1"/>
                <w:kern w:val="0"/>
                <w:sz w:val="32"/>
                <w:szCs w:val="32"/>
                <w:lang w:eastAsia="zh-CN"/>
                <w14:textFill>
                  <w14:solidFill>
                    <w14:schemeClr w14:val="tx1"/>
                  </w14:solidFill>
                </w14:textFill>
              </w:rPr>
            </w:pPr>
            <w:r>
              <w:rPr>
                <w:rFonts w:hint="eastAsia" w:eastAsia="方正仿宋_GBK"/>
                <w:color w:val="000000" w:themeColor="text1"/>
                <w:kern w:val="0"/>
                <w:sz w:val="32"/>
                <w:szCs w:val="32"/>
                <w:lang w:eastAsia="zh-CN"/>
                <w14:textFill>
                  <w14:solidFill>
                    <w14:schemeClr w14:val="tx1"/>
                  </w14:solidFill>
                </w14:textFill>
              </w:rPr>
              <w:t>服务内容</w:t>
            </w:r>
          </w:p>
        </w:tc>
        <w:tc>
          <w:tcPr>
            <w:tcW w:w="14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440" w:lineRule="exact"/>
              <w:jc w:val="center"/>
              <w:textAlignment w:val="center"/>
              <w:rPr>
                <w:rFonts w:eastAsia="方正仿宋_GBK"/>
                <w:color w:val="000000" w:themeColor="text1"/>
                <w:kern w:val="0"/>
                <w:sz w:val="32"/>
                <w:szCs w:val="32"/>
                <w14:textFill>
                  <w14:solidFill>
                    <w14:schemeClr w14:val="tx1"/>
                  </w14:solidFill>
                </w14:textFill>
              </w:rPr>
            </w:pPr>
            <w:r>
              <w:rPr>
                <w:rFonts w:hint="eastAsia" w:eastAsia="方正仿宋_GBK"/>
                <w:color w:val="000000" w:themeColor="text1"/>
                <w:kern w:val="0"/>
                <w:sz w:val="32"/>
                <w:szCs w:val="32"/>
                <w:lang w:eastAsia="zh-CN"/>
                <w14:textFill>
                  <w14:solidFill>
                    <w14:schemeClr w14:val="tx1"/>
                  </w14:solidFill>
                </w14:textFill>
              </w:rPr>
              <w:t>折扣系数</w:t>
            </w:r>
            <w:r>
              <w:rPr>
                <w:rFonts w:eastAsia="方正仿宋_GBK"/>
                <w:color w:val="000000" w:themeColor="text1"/>
                <w:kern w:val="0"/>
                <w:sz w:val="32"/>
                <w:szCs w:val="32"/>
                <w14:textFill>
                  <w14:solidFill>
                    <w14:schemeClr w14:val="tx1"/>
                  </w14:solidFill>
                </w14:textFill>
              </w:rPr>
              <w:t xml:space="preserve">  （</w:t>
            </w:r>
            <w:r>
              <w:rPr>
                <w:rFonts w:hint="eastAsia" w:eastAsia="方正仿宋_GBK"/>
                <w:color w:val="000000" w:themeColor="text1"/>
                <w:kern w:val="0"/>
                <w:sz w:val="32"/>
                <w:szCs w:val="32"/>
                <w:lang w:val="en-US" w:eastAsia="zh-CN"/>
                <w14:textFill>
                  <w14:solidFill>
                    <w14:schemeClr w14:val="tx1"/>
                  </w14:solidFill>
                </w14:textFill>
              </w:rPr>
              <w:t>%</w:t>
            </w:r>
            <w:r>
              <w:rPr>
                <w:rFonts w:eastAsia="方正仿宋_GBK"/>
                <w:color w:val="000000" w:themeColor="text1"/>
                <w:kern w:val="0"/>
                <w:sz w:val="32"/>
                <w:szCs w:val="32"/>
                <w14:textFill>
                  <w14:solidFill>
                    <w14:schemeClr w14:val="tx1"/>
                  </w14:solidFill>
                </w14:textFill>
              </w:rPr>
              <w:t>）</w:t>
            </w:r>
          </w:p>
        </w:tc>
        <w:tc>
          <w:tcPr>
            <w:tcW w:w="1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440" w:lineRule="exact"/>
              <w:jc w:val="center"/>
              <w:textAlignment w:val="center"/>
              <w:rPr>
                <w:rFonts w:eastAsia="方正仿宋_GBK"/>
                <w:color w:val="000000" w:themeColor="text1"/>
                <w:kern w:val="0"/>
                <w:sz w:val="32"/>
                <w:szCs w:val="32"/>
                <w14:textFill>
                  <w14:solidFill>
                    <w14:schemeClr w14:val="tx1"/>
                  </w14:solidFill>
                </w14:textFill>
              </w:rPr>
            </w:pPr>
            <w:r>
              <w:rPr>
                <w:rFonts w:eastAsia="方正仿宋_GBK"/>
                <w:color w:val="000000" w:themeColor="text1"/>
                <w:kern w:val="0"/>
                <w:sz w:val="32"/>
                <w:szCs w:val="32"/>
                <w14:textFill>
                  <w14:solidFill>
                    <w14:schemeClr w14:val="tx1"/>
                  </w14:solidFill>
                </w14:textFill>
              </w:rPr>
              <w:t>备注</w:t>
            </w:r>
          </w:p>
        </w:tc>
      </w:tr>
      <w:tr>
        <w:tblPrEx>
          <w:tblCellMar>
            <w:top w:w="0" w:type="dxa"/>
            <w:left w:w="0" w:type="dxa"/>
            <w:bottom w:w="0" w:type="dxa"/>
            <w:right w:w="0" w:type="dxa"/>
          </w:tblCellMar>
        </w:tblPrEx>
        <w:trPr>
          <w:trHeight w:val="4999" w:hRule="atLeast"/>
        </w:trPr>
        <w:tc>
          <w:tcPr>
            <w:tcW w:w="1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pPr>
            <w:r>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t>重庆市巴南区固体废弃物运输有限公司2026年食堂食材供应及配送项目</w:t>
            </w:r>
          </w:p>
        </w:tc>
        <w:tc>
          <w:tcPr>
            <w:tcW w:w="43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pPr>
            <w:r>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t>供应商主要为重庆市巴南区固体废弃物运输有限公司食堂按时足量配送粮油副食品类、肉禽蛋类、水产冻品类、蔬菜类、熟食类等原材料。配送地址：重庆市巴南区龙洲湾街道走马梁路113号或采购人指定地点。送货时间：采购人每日17时前报送次日供货清单给供应商，供应商应于次日早上7时前将货物送达。</w:t>
            </w:r>
          </w:p>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60" w:firstLineChars="200"/>
              <w:jc w:val="both"/>
              <w:textAlignment w:val="auto"/>
              <w:outlineLvl w:val="9"/>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pPr>
            <w:r>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t>本次询价服务时间为12个月。请供应商参照《采购明细表》中的市场价提供折扣系数报价，本项目最高限价为49.8万元，实际结算金额达到限价时自动解除合同（结算金额最终以实际采购为准）。</w:t>
            </w:r>
          </w:p>
        </w:tc>
        <w:tc>
          <w:tcPr>
            <w:tcW w:w="14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pacing w:line="360" w:lineRule="exact"/>
              <w:ind w:left="0" w:leftChars="0" w:right="0" w:rightChars="0"/>
              <w:jc w:val="center"/>
              <w:textAlignment w:val="center"/>
              <w:rPr>
                <w:rFonts w:hint="eastAsia" w:ascii="方正仿宋_GBK" w:hAnsi="方正仿宋_GBK" w:eastAsia="方正仿宋_GBK" w:cs="方正仿宋_GBK"/>
                <w:i w:val="0"/>
                <w:color w:val="000000"/>
                <w:kern w:val="0"/>
                <w:sz w:val="32"/>
                <w:szCs w:val="32"/>
                <w:u w:val="none"/>
                <w:lang w:val="en-US" w:eastAsia="zh-CN" w:bidi="ar"/>
              </w:rPr>
            </w:pPr>
          </w:p>
        </w:tc>
        <w:tc>
          <w:tcPr>
            <w:tcW w:w="17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pStyle w:val="6"/>
              <w:keepNext w:val="0"/>
              <w:keepLines w:val="0"/>
              <w:pageBreakBefore w:val="0"/>
              <w:widowControl w:val="0"/>
              <w:numPr>
                <w:ilvl w:val="0"/>
                <w:numId w:val="0"/>
              </w:numPr>
              <w:kinsoku/>
              <w:wordWrap/>
              <w:overflowPunct/>
              <w:topLinePunct w:val="0"/>
              <w:autoSpaceDE/>
              <w:autoSpaceDN/>
              <w:bidi w:val="0"/>
              <w:adjustRightInd/>
              <w:spacing w:line="360" w:lineRule="exact"/>
              <w:ind w:left="0" w:leftChars="0" w:right="0" w:rightChars="0" w:firstLine="560" w:firstLineChars="200"/>
              <w:jc w:val="both"/>
              <w:textAlignment w:val="auto"/>
              <w:outlineLvl w:val="9"/>
              <w:rPr>
                <w:rFonts w:hint="eastAsia" w:ascii="方正仿宋_GBK" w:hAnsi="方正仿宋_GBK" w:eastAsia="方正仿宋_GBK" w:cs="方正仿宋_GBK"/>
                <w:color w:val="auto"/>
                <w:kern w:val="2"/>
                <w:sz w:val="28"/>
                <w:szCs w:val="28"/>
                <w:lang w:val="en-US" w:eastAsia="zh-CN" w:bidi="ar-SA"/>
              </w:rPr>
            </w:pPr>
            <w:r>
              <w:rPr>
                <w:rFonts w:hint="eastAsia" w:ascii="方正仿宋_GBK" w:hAnsi="方正仿宋_GBK" w:eastAsia="方正仿宋_GBK" w:cs="方正仿宋_GBK"/>
                <w:color w:val="000000" w:themeColor="text1"/>
                <w:sz w:val="28"/>
                <w:szCs w:val="28"/>
                <w:lang w:val="en-US" w:eastAsia="zh-CN"/>
                <w14:textFill>
                  <w14:solidFill>
                    <w14:schemeClr w14:val="tx1"/>
                  </w14:solidFill>
                </w14:textFill>
              </w:rPr>
              <w:t>报价内容包含商品单价、运输费（含装卸费）、人工费、保险费、税费等所有费用</w:t>
            </w:r>
            <w:r>
              <w:rPr>
                <w:rFonts w:hint="eastAsia" w:ascii="方正仿宋_GBK" w:hAnsi="方正仿宋_GBK" w:eastAsia="方正仿宋_GBK" w:cs="方正仿宋_GBK"/>
                <w:color w:val="auto"/>
                <w:kern w:val="2"/>
                <w:sz w:val="28"/>
                <w:szCs w:val="28"/>
                <w:lang w:val="en-US" w:eastAsia="zh-CN" w:bidi="ar-SA"/>
              </w:rPr>
              <w:t>。</w:t>
            </w:r>
          </w:p>
          <w:p>
            <w:pPr>
              <w:keepNext w:val="0"/>
              <w:keepLines w:val="0"/>
              <w:pageBreakBefore w:val="0"/>
              <w:widowControl/>
              <w:kinsoku/>
              <w:wordWrap/>
              <w:overflowPunct/>
              <w:topLinePunct w:val="0"/>
              <w:autoSpaceDE/>
              <w:autoSpaceDN/>
              <w:bidi w:val="0"/>
              <w:adjustRightInd/>
              <w:spacing w:line="360" w:lineRule="exact"/>
              <w:ind w:left="0" w:leftChars="0" w:right="0" w:rightChars="0"/>
              <w:jc w:val="center"/>
              <w:textAlignment w:val="center"/>
              <w:rPr>
                <w:rFonts w:eastAsia="方正仿宋_GBK"/>
                <w:color w:val="000000" w:themeColor="text1"/>
                <w:kern w:val="0"/>
                <w:sz w:val="32"/>
                <w:szCs w:val="32"/>
                <w14:textFill>
                  <w14:solidFill>
                    <w14:schemeClr w14:val="tx1"/>
                  </w14:solidFill>
                </w14:textFill>
              </w:rPr>
            </w:pPr>
            <w:r>
              <w:rPr>
                <w:rFonts w:hint="eastAsia" w:ascii="方正仿宋_GBK" w:hAnsi="方正仿宋_GBK" w:eastAsia="方正仿宋_GBK" w:cs="方正仿宋_GBK"/>
                <w:color w:val="auto"/>
                <w:kern w:val="2"/>
                <w:sz w:val="28"/>
                <w:szCs w:val="28"/>
                <w:lang w:val="en-US" w:eastAsia="zh-CN" w:bidi="ar-SA"/>
              </w:rPr>
              <w:t xml:space="preserve">  </w:t>
            </w:r>
          </w:p>
        </w:tc>
      </w:tr>
    </w:tbl>
    <w:p>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700" w:firstLineChars="200"/>
        <w:jc w:val="both"/>
        <w:textAlignment w:val="auto"/>
        <w:rPr>
          <w:rFonts w:hint="eastAsia" w:ascii="方正仿宋_GBK" w:hAnsi="方正仿宋_GBK" w:eastAsia="方正仿宋_GBK" w:cs="方正仿宋_GBK"/>
          <w:color w:val="000000"/>
          <w:spacing w:val="-6"/>
          <w:sz w:val="32"/>
          <w:szCs w:val="32"/>
          <w:shd w:val="clear" w:color="auto" w:fill="FFFFFF"/>
          <w:lang w:val="en-US" w:eastAsia="zh-CN"/>
        </w:rPr>
      </w:pPr>
      <w:r>
        <w:rPr>
          <w:rFonts w:hint="eastAsia" w:ascii="方正仿宋_GBK" w:hAnsi="方正仿宋_GBK" w:eastAsia="方正仿宋_GBK" w:cs="方正仿宋_GBK"/>
          <w:i w:val="0"/>
          <w:caps w:val="0"/>
          <w:color w:val="000000"/>
          <w:spacing w:val="15"/>
          <w:sz w:val="32"/>
          <w:szCs w:val="32"/>
          <w:shd w:val="clear" w:color="auto" w:fill="FFFFFF"/>
          <w:lang w:eastAsia="zh-CN"/>
        </w:rPr>
        <w:t>二、本报价包括公告内所有内容。</w:t>
      </w:r>
    </w:p>
    <w:p>
      <w:pPr>
        <w:ind w:firstLine="435"/>
        <w:rPr>
          <w:rFonts w:hint="eastAsia" w:ascii="方正仿宋_GBK" w:hAnsi="方正仿宋_GBK" w:eastAsia="方正仿宋_GBK" w:cs="方正仿宋_GBK"/>
          <w:color w:val="000000"/>
          <w:spacing w:val="-6"/>
          <w:sz w:val="32"/>
          <w:szCs w:val="32"/>
          <w:shd w:val="clear" w:color="auto" w:fill="FFFFFF"/>
        </w:rPr>
      </w:pP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ind w:firstLine="435"/>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7"/>
        <w:tabs>
          <w:tab w:val="right" w:leader="dot" w:pos="9117"/>
        </w:tabs>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pStyle w:val="5"/>
        <w:rPr>
          <w:rFonts w:hAnsi="宋体"/>
          <w:bCs/>
          <w:color w:val="000000" w:themeColor="text1"/>
          <w:sz w:val="28"/>
          <w:highlight w:val="none"/>
          <w14:textFill>
            <w14:solidFill>
              <w14:schemeClr w14:val="tx1"/>
            </w14:solidFill>
          </w14:textFill>
        </w:rPr>
      </w:pPr>
    </w:p>
    <w:p>
      <w:pPr>
        <w:pStyle w:val="5"/>
        <w:rPr>
          <w:rFonts w:hint="eastAsia" w:ascii="方正黑体_GBK" w:hAnsi="方正黑体_GBK" w:eastAsia="方正黑体_GBK" w:cs="方正黑体_GBK"/>
          <w:color w:val="000000" w:themeColor="text1"/>
          <w:sz w:val="32"/>
          <w:szCs w:val="32"/>
          <w:lang w:val="en-US" w:eastAsia="zh-CN"/>
          <w14:textFill>
            <w14:solidFill>
              <w14:schemeClr w14:val="tx1"/>
            </w14:solidFill>
          </w14:textFill>
        </w:rPr>
      </w:pPr>
    </w:p>
    <w:p>
      <w:bookmarkStart w:id="0" w:name="_GoBack"/>
      <w:bookmarkEnd w:id="0"/>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2"/>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MingLiU">
    <w:altName w:val="PMingLiU-ExtB"/>
    <w:panose1 w:val="02020509000000000000"/>
    <w:charset w:val="88"/>
    <w:family w:val="modern"/>
    <w:pitch w:val="default"/>
    <w:sig w:usb0="00000000" w:usb1="00000000" w:usb2="00000016" w:usb3="00000000" w:csb0="00100001"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center" w:pos="4422"/>
        <w:tab w:val="clear" w:pos="4153"/>
      </w:tabs>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86385" cy="147955"/>
              <wp:effectExtent l="0" t="0" r="0" b="0"/>
              <wp:wrapNone/>
              <wp:docPr id="1" name="文本框 1"/>
              <wp:cNvGraphicFramePr/>
              <a:graphic xmlns:a="http://schemas.openxmlformats.org/drawingml/2006/main">
                <a:graphicData uri="http://schemas.microsoft.com/office/word/2010/wordprocessingShape">
                  <wps:wsp>
                    <wps:cNvSpPr txBox="1">
                      <a:spLocks noChangeArrowheads="1"/>
                    </wps:cNvSpPr>
                    <wps:spPr bwMode="auto">
                      <a:xfrm>
                        <a:off x="0" y="0"/>
                        <a:ext cx="286385" cy="147955"/>
                      </a:xfrm>
                      <a:prstGeom prst="rect">
                        <a:avLst/>
                      </a:prstGeom>
                      <a:noFill/>
                      <a:ln>
                        <a:noFill/>
                      </a:ln>
                    </wps:spPr>
                    <wps:txbx>
                      <w:txbxContent>
                        <w:p>
                          <w:pPr>
                            <w:pStyle w:val="6"/>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rot="0" vert="horz" wrap="none" lIns="0" tIns="0" rIns="0" bIns="0" anchor="t" anchorCtr="0" upright="1">
                      <a:spAutoFit/>
                    </wps:bodyPr>
                  </wps:wsp>
                </a:graphicData>
              </a:graphic>
            </wp:anchor>
          </w:drawing>
        </mc:Choice>
        <mc:Fallback>
          <w:pict>
            <v:shape id="_x0000_s1026" o:spid="_x0000_s1026" o:spt="202" type="#_x0000_t202" style="position:absolute;left:0pt;margin-top:0pt;height:11.65pt;width:22.55pt;mso-position-horizontal:outside;mso-position-horizontal-relative:margin;mso-wrap-style:none;z-index:251659264;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GzHS&#10;AAAAAwEAAA8AAAAAAAAAAQAgAAAAIgAAAGRycy9kb3ducmV2LnhtbFBLAQIUABQAAAAIAIdO4kBQ&#10;3GMp7QEAALQDAAAOAAAAAAAAAAEAIAAAACEBAABkcnMvZTJvRG9jLnhtbFBLBQYAAAAABgAGAFkB&#10;AACABQAAAAA=&#10;">
              <v:fill on="f" focussize="0,0"/>
              <v:stroke on="f"/>
              <v:imagedata o:title=""/>
              <o:lock v:ext="edit" aspectratio="f"/>
              <v:textbox inset="0mm,0mm,0mm,0mm" style="mso-fit-shape-to-text:t;">
                <w:txbxContent>
                  <w:p>
                    <w:pPr>
                      <w:pStyle w:val="6"/>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B8FD87"/>
    <w:multiLevelType w:val="singleLevel"/>
    <w:tmpl w:val="68B8FD87"/>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9E18E7"/>
    <w:rsid w:val="3B9E18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iPriority="99"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5">
    <w:name w:val="heading 3"/>
    <w:basedOn w:val="1"/>
    <w:next w:val="1"/>
    <w:unhideWhenUsed/>
    <w:qFormat/>
    <w:uiPriority w:val="0"/>
    <w:pPr>
      <w:autoSpaceDE w:val="0"/>
      <w:autoSpaceDN w:val="0"/>
      <w:adjustRightInd w:val="0"/>
      <w:jc w:val="left"/>
      <w:outlineLvl w:val="2"/>
    </w:pPr>
    <w:rPr>
      <w:rFonts w:ascii="仿宋_GB2312" w:eastAsia="仿宋_GB2312" w:cs="MingLiU"/>
      <w:b/>
      <w:sz w:val="24"/>
      <w:szCs w:val="28"/>
    </w:rPr>
  </w:style>
  <w:style w:type="character" w:default="1" w:styleId="10">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2">
    <w:name w:val="Body Text First Indent"/>
    <w:basedOn w:val="3"/>
    <w:next w:val="4"/>
    <w:unhideWhenUsed/>
    <w:qFormat/>
    <w:uiPriority w:val="99"/>
    <w:pPr>
      <w:spacing w:line="360" w:lineRule="auto"/>
      <w:ind w:firstLine="420"/>
    </w:pPr>
    <w:rPr>
      <w:rFonts w:ascii="宋体" w:hAnsi="宋体"/>
      <w:sz w:val="24"/>
    </w:rPr>
  </w:style>
  <w:style w:type="paragraph" w:styleId="3">
    <w:name w:val="Body Text"/>
    <w:basedOn w:val="1"/>
    <w:next w:val="1"/>
    <w:qFormat/>
    <w:uiPriority w:val="0"/>
    <w:rPr>
      <w:rFonts w:ascii="仿宋_GB2312" w:eastAsia="仿宋_GB2312"/>
      <w:sz w:val="32"/>
      <w:szCs w:val="24"/>
    </w:rPr>
  </w:style>
  <w:style w:type="paragraph" w:styleId="4">
    <w:name w:val="List 3"/>
    <w:basedOn w:val="1"/>
    <w:unhideWhenUsed/>
    <w:qFormat/>
    <w:uiPriority w:val="99"/>
    <w:pPr>
      <w:adjustRightInd w:val="0"/>
      <w:snapToGrid w:val="0"/>
      <w:spacing w:line="360" w:lineRule="auto"/>
      <w:ind w:left="100" w:leftChars="400" w:hanging="200" w:hangingChars="200"/>
    </w:pPr>
    <w:rPr>
      <w:sz w:val="24"/>
    </w:rPr>
  </w:style>
  <w:style w:type="paragraph" w:styleId="6">
    <w:name w:val="footer"/>
    <w:basedOn w:val="1"/>
    <w:next w:val="1"/>
    <w:unhideWhenUsed/>
    <w:qFormat/>
    <w:uiPriority w:val="99"/>
    <w:pPr>
      <w:tabs>
        <w:tab w:val="center" w:pos="4153"/>
        <w:tab w:val="right" w:pos="8306"/>
      </w:tabs>
      <w:snapToGrid w:val="0"/>
      <w:jc w:val="left"/>
    </w:pPr>
    <w:rPr>
      <w:sz w:val="18"/>
      <w:szCs w:val="18"/>
    </w:rPr>
  </w:style>
  <w:style w:type="paragraph" w:styleId="7">
    <w:name w:val="toc 1"/>
    <w:basedOn w:val="1"/>
    <w:next w:val="1"/>
    <w:unhideWhenUsed/>
    <w:qFormat/>
    <w:uiPriority w:val="39"/>
  </w:style>
  <w:style w:type="paragraph" w:styleId="8">
    <w:name w:val="Normal (Web)"/>
    <w:basedOn w:val="1"/>
    <w:unhideWhenUsed/>
    <w:qFormat/>
    <w:uiPriority w:val="99"/>
    <w:rPr>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2025-11-20T02:01:00Z</dcterms:created>
  <dc:creator>Administrator</dc:creator>
  <cp:lastModifiedBy>Administrator</cp:lastModifiedBy>
  <dcterms:modified xsi:type="dcterms:W3CDTF">2025-11-20T02:01:56Z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