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color w:val="auto"/>
          <w:sz w:val="44"/>
          <w:szCs w:val="44"/>
        </w:rPr>
      </w:pPr>
      <w:r>
        <w:rPr>
          <w:rFonts w:hint="eastAsia" w:ascii="方正小标宋_GBK" w:eastAsia="方正小标宋_GBK"/>
          <w:color w:val="auto"/>
          <w:sz w:val="44"/>
          <w:szCs w:val="44"/>
        </w:rPr>
        <w:t>报价书</w:t>
      </w:r>
    </w:p>
    <w:p>
      <w:pPr>
        <w:spacing w:line="520" w:lineRule="exact"/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val="en-US" w:eastAsia="zh-CN"/>
        </w:rPr>
        <w:t>重庆市城南建设投资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</w:rPr>
        <w:t>有限公司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eastAsia="zh-CN"/>
        </w:rPr>
        <w:t>：</w:t>
      </w:r>
    </w:p>
    <w:p>
      <w:pPr>
        <w:numPr>
          <w:ilvl w:val="0"/>
          <w:numId w:val="1"/>
        </w:numPr>
        <w:spacing w:line="520" w:lineRule="exact"/>
        <w:ind w:firstLine="616" w:firstLineChars="200"/>
        <w:jc w:val="both"/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</w:rPr>
        <w:t>根据你方发布的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eastAsia="zh-CN"/>
        </w:rPr>
        <w:t>询价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</w:rPr>
        <w:t>公告，经研究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重庆市巴南区纺织片区城中村住房配套设施建设项目（配套停车楼和景观天桥）行洪评价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val="en-US" w:eastAsia="zh-CN"/>
        </w:rPr>
        <w:t xml:space="preserve"> 万元包干，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</w:rPr>
        <w:t>完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eastAsia="zh-CN"/>
        </w:rPr>
        <w:t>成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重庆市巴南区纺织片区城中村住房配套设施建设项目（配套停车楼和景观天桥）行洪评价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按照国家现行法律法规和规范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</w:rPr>
        <w:t>完成本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eastAsia="zh-CN"/>
        </w:rPr>
        <w:t>项目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行洪评价等相关工作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eastAsia="zh-CN"/>
        </w:rPr>
        <w:t>。</w:t>
      </w:r>
    </w:p>
    <w:p>
      <w:pPr>
        <w:spacing w:line="520" w:lineRule="exact"/>
        <w:ind w:firstLine="616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rPr>
          <w:color w:val="auto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356E05"/>
    <w:multiLevelType w:val="singleLevel"/>
    <w:tmpl w:val="68356E05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903F87"/>
    <w:rsid w:val="04903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2025-12-15T02:29:00Z</dcterms:created>
  <dc:creator>Administrator</dc:creator>
  <cp:lastModifiedBy>Administrator</cp:lastModifiedBy>
  <dcterms:modified xsi:type="dcterms:W3CDTF">2025-12-15T02:29:54Z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