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line="560" w:lineRule="exact"/>
        <w:jc w:val="both"/>
        <w:rPr>
          <w:rFonts w:ascii="黑体" w:hAnsi="黑体" w:eastAsia="黑体" w:cs="黑体"/>
          <w:bCs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lang w:val="en-US" w:eastAsia="zh-CN"/>
        </w:rPr>
        <w:t>附件</w:t>
      </w:r>
    </w:p>
    <w:p>
      <w:pPr>
        <w:pStyle w:val="4"/>
        <w:spacing w:line="520" w:lineRule="exact"/>
        <w:ind w:firstLine="880" w:firstLineChars="200"/>
        <w:jc w:val="center"/>
        <w:rPr>
          <w:rFonts w:hint="eastAsia" w:ascii="方正小标宋_GBK" w:hAnsi="方正小标宋_GBK" w:eastAsia="方正小标宋_GBK" w:cs="方正小标宋_GBK"/>
          <w:b w:val="0"/>
          <w:bCs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lang w:eastAsia="zh-CN"/>
        </w:rPr>
        <w:t>区文化中心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lang w:val="en-US" w:eastAsia="zh-CN"/>
        </w:rPr>
        <w:t>2号楼</w:t>
      </w:r>
      <w:r>
        <w:rPr>
          <w:rFonts w:hint="eastAsia" w:ascii="方正小标宋_GBK" w:hAnsi="方正小标宋_GBK" w:eastAsia="方正小标宋_GBK" w:cs="方正小标宋_GBK"/>
          <w:b w:val="0"/>
          <w:bCs/>
          <w:color w:val="auto"/>
          <w:kern w:val="0"/>
          <w:sz w:val="44"/>
          <w:szCs w:val="44"/>
          <w:lang w:val="en-US" w:eastAsia="zh-CN" w:bidi="ar-SA"/>
        </w:rPr>
        <w:t>及区文化中心项目公共区域</w:t>
      </w:r>
    </w:p>
    <w:p>
      <w:pPr>
        <w:pStyle w:val="4"/>
        <w:spacing w:line="520" w:lineRule="exact"/>
        <w:ind w:firstLine="880" w:firstLineChars="200"/>
        <w:jc w:val="center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color w:val="auto"/>
          <w:kern w:val="0"/>
          <w:sz w:val="44"/>
          <w:szCs w:val="44"/>
          <w:lang w:val="en-US" w:eastAsia="zh-CN" w:bidi="ar-SA"/>
        </w:rPr>
        <w:t>消防需求</w:t>
      </w:r>
      <w:r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lang w:val="en-US" w:eastAsia="zh-CN"/>
        </w:rPr>
        <w:t>限价询价表</w:t>
      </w:r>
    </w:p>
    <w:p>
      <w:pPr>
        <w:pStyle w:val="4"/>
        <w:spacing w:line="520" w:lineRule="exact"/>
        <w:ind w:firstLine="880" w:firstLineChars="200"/>
        <w:jc w:val="center"/>
        <w:rPr>
          <w:rFonts w:hint="eastAsia" w:ascii="方正小标宋_GBK" w:hAnsi="方正小标宋_GBK" w:eastAsia="方正小标宋_GBK" w:cs="方正小标宋_GBK"/>
          <w:i w:val="0"/>
          <w:iCs w:val="0"/>
          <w:caps w:val="0"/>
          <w:color w:val="auto"/>
          <w:spacing w:val="0"/>
          <w:sz w:val="44"/>
          <w:szCs w:val="44"/>
          <w:lang w:val="en-US" w:eastAsia="zh-CN"/>
        </w:rPr>
      </w:pPr>
    </w:p>
    <w:p>
      <w:pPr>
        <w:pStyle w:val="4"/>
        <w:spacing w:line="520" w:lineRule="exact"/>
        <w:rPr>
          <w:rFonts w:hint="eastAsia" w:ascii="方正仿宋_GBK" w:eastAsia="方正仿宋_GBK"/>
          <w:color w:val="auto"/>
          <w:sz w:val="28"/>
          <w:szCs w:val="21"/>
          <w:lang w:val="en-US" w:eastAsia="zh-CN"/>
        </w:rPr>
      </w:pPr>
      <w:r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  <w:t>报价单位（盖章）：                填报人及联系方式：              填报日期：</w:t>
      </w:r>
    </w:p>
    <w:tbl>
      <w:tblPr>
        <w:tblStyle w:val="6"/>
        <w:tblpPr w:leftFromText="180" w:rightFromText="180" w:vertAnchor="text" w:horzAnchor="page" w:tblpX="1964" w:tblpY="67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543"/>
        <w:gridCol w:w="4950"/>
        <w:gridCol w:w="1504"/>
        <w:gridCol w:w="1835"/>
        <w:gridCol w:w="18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1543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消防维保服务内容</w:t>
            </w:r>
          </w:p>
        </w:tc>
        <w:tc>
          <w:tcPr>
            <w:tcW w:w="4950" w:type="dxa"/>
            <w:noWrap w:val="0"/>
            <w:vAlign w:val="center"/>
          </w:tcPr>
          <w:p>
            <w:pPr>
              <w:pStyle w:val="4"/>
              <w:spacing w:line="400" w:lineRule="exact"/>
              <w:jc w:val="center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消防维保服务面积</w:t>
            </w:r>
          </w:p>
        </w:tc>
        <w:tc>
          <w:tcPr>
            <w:tcW w:w="1504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消防维保服务期限</w:t>
            </w:r>
          </w:p>
        </w:tc>
        <w:tc>
          <w:tcPr>
            <w:tcW w:w="1835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消防维保服务包干价格   （万元）</w:t>
            </w:r>
          </w:p>
        </w:tc>
        <w:tc>
          <w:tcPr>
            <w:tcW w:w="1811" w:type="dxa"/>
            <w:noWrap w:val="0"/>
            <w:vAlign w:val="center"/>
          </w:tcPr>
          <w:p>
            <w:pPr>
              <w:pStyle w:val="4"/>
              <w:spacing w:line="400" w:lineRule="exact"/>
              <w:jc w:val="center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0" w:hRule="atLeast"/>
        </w:trPr>
        <w:tc>
          <w:tcPr>
            <w:tcW w:w="1129" w:type="dxa"/>
            <w:noWrap w:val="0"/>
            <w:vAlign w:val="top"/>
          </w:tcPr>
          <w:p>
            <w:pPr>
              <w:pStyle w:val="4"/>
              <w:spacing w:line="520" w:lineRule="exact"/>
              <w:jc w:val="center"/>
              <w:rPr>
                <w:rFonts w:hint="eastAsia" w:ascii="方正仿宋_GBK" w:eastAsia="方正仿宋_GBK"/>
                <w:color w:val="auto"/>
                <w:szCs w:val="22"/>
                <w:lang w:val="en-US" w:eastAsia="zh-CN"/>
              </w:rPr>
            </w:pPr>
            <w:r>
              <w:rPr>
                <w:rFonts w:hint="eastAsia" w:ascii="方正仿宋_GBK" w:eastAsia="方正仿宋_GBK"/>
                <w:color w:val="auto"/>
                <w:szCs w:val="22"/>
                <w:lang w:val="en-US" w:eastAsia="zh-CN"/>
              </w:rPr>
              <w:t>1</w:t>
            </w:r>
          </w:p>
        </w:tc>
        <w:tc>
          <w:tcPr>
            <w:tcW w:w="1543" w:type="dxa"/>
            <w:noWrap w:val="0"/>
            <w:vAlign w:val="top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详见“区文化中心2号楼及区文化中心项目公共区域消防需求”</w:t>
            </w:r>
          </w:p>
        </w:tc>
        <w:tc>
          <w:tcPr>
            <w:tcW w:w="4950" w:type="dxa"/>
            <w:noWrap w:val="0"/>
            <w:vAlign w:val="center"/>
          </w:tcPr>
          <w:p>
            <w:pPr>
              <w:pStyle w:val="4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highlight w:val="none"/>
                <w:lang w:val="en-US" w:eastAsia="zh-CN"/>
              </w:rPr>
              <w:t>总面积：46601平方米（以实测面积为准）。其中：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其中办公楼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eastAsia="zh-CN"/>
              </w:rPr>
              <w:t>建筑面积约4608平方米（不含新时代文明实践中心、区保医局、南投集团办公用房）；地下负一层、二层为智能停车库，停车位共计755个，面积约30470平方米（含设备用房及消防水池等）；室外公共区域面积约11523平方米，含绿化和硬质铺装（最终以现场指定为准）</w:t>
            </w:r>
            <w:r>
              <w:rPr>
                <w:rFonts w:hint="eastAsia" w:ascii="方正仿宋_GBK" w:hAnsi="方正仿宋_GBK" w:eastAsia="方正仿宋_GBK" w:cs="方正仿宋_GBK"/>
                <w:b w:val="0"/>
                <w:bCs/>
                <w:color w:val="auto"/>
                <w:sz w:val="28"/>
                <w:szCs w:val="28"/>
                <w:lang w:eastAsia="zh-CN"/>
              </w:rPr>
              <w:t>。</w:t>
            </w:r>
          </w:p>
        </w:tc>
        <w:tc>
          <w:tcPr>
            <w:tcW w:w="1504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1年（以合同签定为准）</w:t>
            </w:r>
          </w:p>
        </w:tc>
        <w:tc>
          <w:tcPr>
            <w:tcW w:w="1835" w:type="dxa"/>
            <w:noWrap w:val="0"/>
            <w:vAlign w:val="top"/>
          </w:tcPr>
          <w:p>
            <w:pPr>
              <w:pStyle w:val="4"/>
              <w:spacing w:line="520" w:lineRule="exact"/>
              <w:jc w:val="left"/>
              <w:rPr>
                <w:rFonts w:hint="eastAsia" w:ascii="方正仿宋_GBK" w:eastAsia="方正仿宋_GBK"/>
                <w:color w:val="auto"/>
                <w:szCs w:val="22"/>
                <w:lang w:val="en-US" w:eastAsia="zh-CN"/>
              </w:rPr>
            </w:pPr>
          </w:p>
        </w:tc>
        <w:tc>
          <w:tcPr>
            <w:tcW w:w="1811" w:type="dxa"/>
            <w:noWrap w:val="0"/>
            <w:vAlign w:val="top"/>
          </w:tcPr>
          <w:p>
            <w:pPr>
              <w:pStyle w:val="4"/>
              <w:spacing w:line="520" w:lineRule="exact"/>
              <w:jc w:val="left"/>
              <w:rPr>
                <w:rFonts w:hint="eastAsia" w:ascii="方正仿宋_GBK" w:eastAsia="方正仿宋_GBK"/>
                <w:color w:val="auto"/>
                <w:szCs w:val="22"/>
                <w:lang w:val="en-US" w:eastAsia="zh-CN"/>
              </w:rPr>
            </w:pPr>
          </w:p>
        </w:tc>
      </w:tr>
    </w:tbl>
    <w:p>
      <w:pPr>
        <w:pStyle w:val="8"/>
        <w:rPr>
          <w:rFonts w:hint="eastAsia" w:ascii="方正仿宋_GBK" w:hAnsi="方正仿宋_GBK" w:eastAsia="方正仿宋_GBK" w:cs="方正仿宋_GBK"/>
          <w:bCs/>
          <w:color w:val="auto"/>
          <w:kern w:val="0"/>
          <w:sz w:val="32"/>
          <w:szCs w:val="32"/>
        </w:rPr>
      </w:pPr>
    </w:p>
    <w:p>
      <w:bookmarkStart w:id="0" w:name="_GoBack"/>
      <w:bookmarkEnd w:id="0"/>
    </w:p>
    <w:sectPr>
      <w:pgSz w:w="16838" w:h="11906" w:orient="landscape"/>
      <w:pgMar w:top="1531" w:right="2098" w:bottom="1531" w:left="2098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516B5D"/>
    <w:rsid w:val="24516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widowControl/>
      <w:spacing w:before="100" w:beforeAutospacing="1" w:after="100" w:afterAutospacing="1"/>
      <w:ind w:right="200"/>
      <w:jc w:val="left"/>
      <w:outlineLvl w:val="1"/>
    </w:pPr>
    <w:rPr>
      <w:rFonts w:ascii="Times New Roman" w:hAnsi="Times New Roman"/>
      <w:b/>
      <w:kern w:val="0"/>
      <w:sz w:val="28"/>
      <w:szCs w:val="20"/>
      <w:lang w:eastAsia="en-US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4">
    <w:name w:val="Body Text"/>
    <w:basedOn w:val="1"/>
    <w:qFormat/>
    <w:uiPriority w:val="1"/>
    <w:rPr>
      <w:rFonts w:ascii="仿宋_GB2312" w:eastAsia="仿宋_GB2312"/>
      <w:sz w:val="32"/>
    </w:rPr>
  </w:style>
  <w:style w:type="paragraph" w:styleId="5">
    <w:name w:val="footer"/>
    <w:basedOn w:val="1"/>
    <w:unhideWhenUsed/>
    <w:qFormat/>
    <w:uiPriority w:val="99"/>
    <w:pPr>
      <w:widowControl/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kern w:val="0"/>
      <w:sz w:val="18"/>
      <w:szCs w:val="18"/>
      <w:lang w:eastAsia="en-US"/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仿宋_GB2312" w:cs="仿宋_GB2312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2025-12-15T08:56:00Z</dcterms:created>
  <dc:creator>Administrator</dc:creator>
  <cp:lastModifiedBy>Administrator</cp:lastModifiedBy>
  <dcterms:modified xsi:type="dcterms:W3CDTF">2025-12-15T08:56:34Z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