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市巴南区固体废弃物运输有限公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司</w:t>
      </w:r>
    </w:p>
    <w:p>
      <w:pPr>
        <w:numPr>
          <w:ilvl w:val="0"/>
          <w:numId w:val="1"/>
        </w:numPr>
        <w:spacing w:line="560" w:lineRule="exact"/>
        <w:ind w:left="0" w:leftChars="0" w:right="-210" w:rightChars="-100" w:firstLine="420" w:firstLineChars="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提供</w:t>
      </w:r>
    </w:p>
    <w:p>
      <w:pPr>
        <w:numPr>
          <w:ilvl w:val="0"/>
          <w:numId w:val="0"/>
        </w:numPr>
        <w:spacing w:line="560" w:lineRule="exact"/>
        <w:ind w:right="-210" w:rightChars="-10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bookmarkStart w:id="0" w:name="OLE_LINK1"/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巴南区固废公司车辆GPS定位服务</w:t>
      </w:r>
      <w:bookmarkEnd w:id="0"/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tbl>
      <w:tblPr>
        <w:tblStyle w:val="6"/>
        <w:tblW w:w="90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1809"/>
        <w:gridCol w:w="1809"/>
        <w:gridCol w:w="1809"/>
        <w:gridCol w:w="18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  <w:jc w:val="center"/>
        </w:trPr>
        <w:tc>
          <w:tcPr>
            <w:tcW w:w="18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  <w:t>项目名称</w:t>
            </w:r>
          </w:p>
        </w:tc>
        <w:tc>
          <w:tcPr>
            <w:tcW w:w="18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  <w:t>车辆数量（台）</w:t>
            </w:r>
          </w:p>
        </w:tc>
        <w:tc>
          <w:tcPr>
            <w:tcW w:w="18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  <w:t>服务期限</w:t>
            </w:r>
          </w:p>
        </w:tc>
        <w:tc>
          <w:tcPr>
            <w:tcW w:w="18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  <w:t>单价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元/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  <w:t>台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/月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  <w:t>）</w:t>
            </w:r>
          </w:p>
        </w:tc>
        <w:tc>
          <w:tcPr>
            <w:tcW w:w="18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eastAsia="zh-CN"/>
              </w:rPr>
              <w:t>合计（元）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  <w:jc w:val="center"/>
        </w:trPr>
        <w:tc>
          <w:tcPr>
            <w:tcW w:w="18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巴南区固废公司车辆GPS定位服务项目</w:t>
            </w:r>
          </w:p>
        </w:tc>
        <w:tc>
          <w:tcPr>
            <w:tcW w:w="18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59</w:t>
            </w:r>
          </w:p>
        </w:tc>
        <w:tc>
          <w:tcPr>
            <w:tcW w:w="18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12个月</w:t>
            </w:r>
          </w:p>
        </w:tc>
        <w:tc>
          <w:tcPr>
            <w:tcW w:w="18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</w:rPr>
            </w:pPr>
          </w:p>
        </w:tc>
        <w:tc>
          <w:tcPr>
            <w:tcW w:w="18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32"/>
                <w:szCs w:val="32"/>
                <w:shd w:val="clear" w:color="auto" w:fill="FFFFFF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08" w:firstLineChars="1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为包干价，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4"/>
        <w:widowControl/>
        <w:spacing w:line="560" w:lineRule="exact"/>
        <w:ind w:firstLine="640" w:firstLineChars="200"/>
        <w:rPr>
          <w:rFonts w:hint="eastAsia" w:ascii="方正仿宋_GBK" w:eastAsia="方正仿宋_GBK"/>
          <w:color w:val="auto"/>
          <w:sz w:val="32"/>
          <w:szCs w:val="32"/>
        </w:rPr>
      </w:pPr>
    </w:p>
    <w:p>
      <w:pPr>
        <w:pStyle w:val="4"/>
        <w:widowControl/>
        <w:spacing w:line="560" w:lineRule="exact"/>
        <w:rPr>
          <w:rFonts w:hint="eastAsia" w:ascii="方正仿宋_GBK" w:eastAsia="方正仿宋_GBK"/>
          <w:color w:val="auto"/>
          <w:sz w:val="32"/>
          <w:szCs w:val="32"/>
          <w:lang w:eastAsia="zh-CN"/>
        </w:rPr>
      </w:pP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7409FA"/>
    <w:rsid w:val="4374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widowControl w:val="0"/>
      <w:spacing w:before="260" w:after="260" w:line="412" w:lineRule="auto"/>
      <w:outlineLvl w:val="2"/>
    </w:pPr>
    <w:rPr>
      <w:b/>
      <w:sz w:val="32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2026-02-24T01:37:00Z</dcterms:created>
  <dc:creator>Administrator</dc:creator>
  <cp:lastModifiedBy>Administrator</cp:lastModifiedBy>
  <dcterms:modified xsi:type="dcterms:W3CDTF">2026-02-24T01:38:16Z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