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hAnsi="微软雅黑" w:eastAsia="方正黑体_GBK" w:cs="微软雅黑"/>
          <w:color w:val="404040"/>
          <w:sz w:val="32"/>
          <w:szCs w:val="32"/>
        </w:rPr>
        <w:t>附件1</w:t>
      </w:r>
    </w:p>
    <w:p>
      <w:pPr>
        <w:pStyle w:val="2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渝兴建设投资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有限公司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5"/>
          <w:rFonts w:hint="eastAsia" w:eastAsia="微软雅黑" w:cs="Calibri"/>
          <w:i w:val="0"/>
          <w:color w:val="40404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eastAsia="微软雅黑" w:cs="Calibri"/>
          <w:color w:val="404040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eastAsia="zh-CN"/>
        </w:rPr>
        <w:t>巴县大道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40号（原房管局办公楼）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202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年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月1日-202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8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年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月30的物业服务工作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eastAsia="微软雅黑" w:cs="Calibri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06646F"/>
    <w:rsid w:val="09066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2026-03-16T03:04:00Z</dcterms:created>
  <dc:creator>Administrator</dc:creator>
  <cp:lastModifiedBy>Administrator</cp:lastModifiedBy>
  <dcterms:modified xsi:type="dcterms:W3CDTF">2026-03-16T03:04:59Z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