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7"/>
        <w:tblW w:w="94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0"/>
        <w:gridCol w:w="3675"/>
        <w:gridCol w:w="1275"/>
        <w:gridCol w:w="2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19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36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服务内容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预估收运量</w:t>
            </w:r>
          </w:p>
        </w:tc>
        <w:tc>
          <w:tcPr>
            <w:tcW w:w="25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5" w:hRule="exact"/>
          <w:jc w:val="center"/>
        </w:trPr>
        <w:tc>
          <w:tcPr>
            <w:tcW w:w="19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家庭厨余垃圾收运服务外包项目（2026年4月）</w:t>
            </w:r>
          </w:p>
        </w:tc>
        <w:tc>
          <w:tcPr>
            <w:tcW w:w="3675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供应商对巴南区龙洲湾街道、鱼洞街道、莲花街道、李家沱街道、花溪街道、南泉街道、界石镇的家庭厨余垃圾进行收运，采用高位翻桶式专用车辆定时、定点收集装车后，清运至界石垃圾二次转运站。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服务期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shd w:val="clear"/>
                <w:lang w:val="en-US" w:eastAsia="zh-CN" w:bidi="ar-SA"/>
              </w:rPr>
              <w:t>限暂定6个月（180天），供应商按照80吨/天，预估收运量14400吨（最终以实际收运量为准）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进行报价。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14400吨</w:t>
            </w:r>
          </w:p>
        </w:tc>
        <w:tc>
          <w:tcPr>
            <w:tcW w:w="2540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1.供应商根据暂定服务期限及预估收运量进行报价，格式可结合实际情况调整，并逐页盖章。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2.供应商的报价需包含增值税费、运输费、人工费、管理费、服务费等所有费用。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85141F"/>
    <w:rsid w:val="3385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iPriority="99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nhideWhenUsed/>
    <w:qFormat/>
    <w:uiPriority w:val="99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nhideWhenUsed/>
    <w:qFormat/>
    <w:uiPriority w:val="99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5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2026-04-07T03:01:00Z</dcterms:created>
  <dc:creator>Administrator</dc:creator>
  <cp:lastModifiedBy>Administrator</cp:lastModifiedBy>
  <dcterms:modified xsi:type="dcterms:W3CDTF">2026-04-07T03:01:42Z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