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11"/>
          <w:kern w:val="0"/>
          <w:sz w:val="32"/>
          <w:szCs w:val="32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11"/>
          <w:kern w:val="0"/>
          <w:sz w:val="32"/>
          <w:szCs w:val="32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附件1</w:t>
      </w:r>
    </w:p>
    <w:p>
      <w:pPr>
        <w:pStyle w:val="2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重庆市“两江四岸”治理提升长江南岸线延伸工程巴滨绿岸（二标段）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工程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静载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检测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试验</w:t>
      </w:r>
      <w:r>
        <w:rPr>
          <w:rFonts w:hint="eastAsia" w:ascii="方正仿宋_GBK" w:eastAsia="方正仿宋_GBK"/>
          <w:sz w:val="32"/>
          <w:szCs w:val="32"/>
        </w:rPr>
        <w:t>服务相关文件，我方愿以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eastAsia="方正仿宋_GBK"/>
          <w:sz w:val="32"/>
          <w:szCs w:val="32"/>
        </w:rPr>
        <w:t>万元完成该项目质量检测服务。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E2085D"/>
    <w:rsid w:val="05E2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2026-04-16T06:41:00Z</dcterms:created>
  <dc:creator>Administrator</dc:creator>
  <cp:lastModifiedBy>Administrator</cp:lastModifiedBy>
  <dcterms:modified xsi:type="dcterms:W3CDTF">2026-04-16T06:41:43Z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