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overflowPunct/>
        <w:topLinePunct w:val="0"/>
        <w:autoSpaceDE/>
        <w:autoSpaceDN/>
        <w:bidi w:val="0"/>
        <w:adjustRightInd/>
        <w:snapToGrid/>
        <w:spacing w:line="600" w:lineRule="exact"/>
        <w:ind w:left="0" w:leftChars="0" w:right="0" w:rightChars="0" w:firstLine="0" w:firstLineChars="0"/>
        <w:jc w:val="both"/>
        <w:textAlignment w:val="auto"/>
        <w:rPr>
          <w:rFonts w:hint="eastAsia" w:ascii="方正小标宋_GBK" w:eastAsia="方正小标宋_GBK"/>
          <w:spacing w:val="34"/>
          <w:sz w:val="44"/>
          <w:szCs w:val="44"/>
        </w:rPr>
      </w:pPr>
      <w:r>
        <w:rPr>
          <w:rFonts w:hint="eastAsia" w:ascii="方正黑体_GBK" w:hAnsi="方正黑体_GBK" w:eastAsia="方正黑体_GBK" w:cs="方正黑体_GBK"/>
          <w:sz w:val="32"/>
          <w:szCs w:val="32"/>
          <w:lang w:eastAsia="zh-CN"/>
        </w:rPr>
        <w:t>附件一</w:t>
      </w:r>
    </w:p>
    <w:p>
      <w:pPr>
        <w:keepNext w:val="0"/>
        <w:keepLines w:val="0"/>
        <w:pageBreakBefore w:val="0"/>
        <w:kinsoku/>
        <w:overflowPunct/>
        <w:topLinePunct w:val="0"/>
        <w:autoSpaceDE/>
        <w:autoSpaceDN/>
        <w:bidi w:val="0"/>
        <w:adjustRightInd/>
        <w:snapToGrid/>
        <w:spacing w:line="600" w:lineRule="exact"/>
        <w:ind w:left="0" w:leftChars="0" w:right="0" w:rightChars="0" w:firstLine="0" w:firstLineChars="0"/>
        <w:jc w:val="center"/>
        <w:textAlignment w:val="auto"/>
        <w:rPr>
          <w:rFonts w:hint="eastAsia" w:ascii="方正小标宋_GBK" w:eastAsia="方正小标宋_GBK"/>
          <w:spacing w:val="34"/>
          <w:sz w:val="44"/>
          <w:szCs w:val="44"/>
        </w:rPr>
      </w:pPr>
      <w:r>
        <w:rPr>
          <w:rFonts w:hint="eastAsia" w:ascii="方正小标宋_GBK" w:eastAsia="方正小标宋_GBK"/>
          <w:spacing w:val="34"/>
          <w:sz w:val="44"/>
          <w:szCs w:val="44"/>
        </w:rPr>
        <w:t>重庆市渝兴建设投资有限公司</w:t>
      </w:r>
    </w:p>
    <w:p>
      <w:pPr>
        <w:keepNext w:val="0"/>
        <w:keepLines w:val="0"/>
        <w:pageBreakBefore w:val="0"/>
        <w:kinsoku/>
        <w:overflowPunct/>
        <w:topLinePunct w:val="0"/>
        <w:autoSpaceDE/>
        <w:autoSpaceDN/>
        <w:bidi w:val="0"/>
        <w:adjustRightInd/>
        <w:snapToGrid/>
        <w:spacing w:line="600" w:lineRule="exact"/>
        <w:ind w:left="0" w:leftChars="0" w:right="0" w:rightChars="0" w:firstLine="0" w:firstLineChars="0"/>
        <w:jc w:val="center"/>
        <w:textAlignment w:val="auto"/>
        <w:rPr>
          <w:rFonts w:hint="eastAsia" w:ascii="方正小标宋_GBK" w:eastAsia="方正小标宋_GBK"/>
          <w:sz w:val="44"/>
          <w:szCs w:val="44"/>
        </w:rPr>
      </w:pPr>
      <w:r>
        <w:rPr>
          <w:rFonts w:hint="eastAsia" w:ascii="方正小标宋_GBK" w:eastAsia="方正小标宋_GBK"/>
          <w:sz w:val="44"/>
          <w:szCs w:val="44"/>
        </w:rPr>
        <w:t>重庆职业技术教育城建设有限公司</w:t>
      </w:r>
    </w:p>
    <w:p>
      <w:pPr>
        <w:keepNext w:val="0"/>
        <w:keepLines w:val="0"/>
        <w:pageBreakBefore w:val="0"/>
        <w:kinsoku/>
        <w:overflowPunct/>
        <w:topLinePunct w:val="0"/>
        <w:autoSpaceDE/>
        <w:autoSpaceDN/>
        <w:bidi w:val="0"/>
        <w:adjustRightInd/>
        <w:snapToGrid/>
        <w:spacing w:line="600" w:lineRule="exact"/>
        <w:ind w:left="0" w:leftChars="0" w:right="0" w:rightChars="0" w:firstLine="0" w:firstLineChars="0"/>
        <w:jc w:val="center"/>
        <w:textAlignment w:val="auto"/>
        <w:rPr>
          <w:rFonts w:hint="eastAsia" w:ascii="方正小标宋_GBK" w:eastAsia="方正小标宋_GBK"/>
          <w:sz w:val="44"/>
          <w:szCs w:val="44"/>
        </w:rPr>
      </w:pPr>
      <w:r>
        <w:rPr>
          <w:rFonts w:hint="eastAsia" w:ascii="方正小标宋_GBK" w:eastAsia="方正小标宋_GBK"/>
          <w:sz w:val="44"/>
          <w:szCs w:val="44"/>
        </w:rPr>
        <w:t>关于已征收未利用土地管护方案</w:t>
      </w:r>
    </w:p>
    <w:p>
      <w:pPr>
        <w:keepNext w:val="0"/>
        <w:keepLines w:val="0"/>
        <w:pageBreakBefore w:val="0"/>
        <w:kinsoku/>
        <w:overflowPunct/>
        <w:topLinePunct w:val="0"/>
        <w:autoSpaceDE/>
        <w:autoSpaceDN/>
        <w:bidi w:val="0"/>
        <w:adjustRightInd/>
        <w:snapToGrid/>
        <w:spacing w:line="600" w:lineRule="exact"/>
        <w:ind w:left="0" w:leftChars="0" w:right="0" w:rightChars="0" w:firstLine="0" w:firstLineChars="0"/>
        <w:jc w:val="center"/>
        <w:textAlignment w:val="auto"/>
        <w:rPr>
          <w:rFonts w:hint="eastAsia"/>
        </w:rPr>
      </w:pP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为进一步加强重庆市渝兴建设投资有限公司（以下简称“渝兴公司”）和重庆职业技术教育城建设有限公司（以下简称“职教城公司”）已征未用土地管护，杜绝该范围内出现违法倒渣、违章搭建、种养殖、林地破坏（含森林防火</w:t>
      </w:r>
      <w:r>
        <w:rPr>
          <w:rFonts w:hint="eastAsia" w:ascii="Times New Roman" w:hAnsi="Times New Roman" w:eastAsia="方正仿宋_GBK" w:cs="Times New Roman"/>
          <w:sz w:val="32"/>
          <w:szCs w:val="32"/>
          <w:lang w:eastAsia="zh-CN"/>
        </w:rPr>
        <w:t>、</w:t>
      </w:r>
      <w:r>
        <w:rPr>
          <w:rFonts w:hint="eastAsia" w:ascii="Times New Roman" w:hAnsi="Times New Roman" w:eastAsia="方正仿宋_GBK" w:cs="Times New Roman"/>
          <w:sz w:val="32"/>
          <w:szCs w:val="32"/>
          <w:lang w:val="en-US" w:eastAsia="zh-CN"/>
        </w:rPr>
        <w:t>值守、宣传</w:t>
      </w:r>
      <w:r>
        <w:rPr>
          <w:rFonts w:hint="default" w:ascii="Times New Roman" w:hAnsi="Times New Roman" w:eastAsia="方正仿宋_GBK" w:cs="Times New Roman"/>
          <w:sz w:val="32"/>
          <w:szCs w:val="32"/>
        </w:rPr>
        <w:t>）、围挡设施安全隐患等问题发生，并及时发现地质灾害隐患。</w:t>
      </w:r>
      <w:r>
        <w:rPr>
          <w:rFonts w:hint="default" w:ascii="Times New Roman" w:hAnsi="Times New Roman" w:eastAsia="方正仿宋_GBK" w:cs="Times New Roman"/>
          <w:color w:val="auto"/>
          <w:sz w:val="32"/>
          <w:szCs w:val="32"/>
          <w:lang w:eastAsia="zh-CN"/>
        </w:rPr>
        <w:t>根据区扫黑除恶专项斗争领导小组办公室《关于强化违法倾倒弃土弃渣现场处置工作的通知》精神</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拟通过政府采购方式委托专业单位负责地块的巡查、值守等工作，现拟定如下管护方案：</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一、巡查管护范围</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经统计渝兴公司和职教城公司已征未用土地共计</w:t>
      </w:r>
      <w:r>
        <w:rPr>
          <w:rFonts w:hint="default" w:ascii="Times New Roman" w:hAnsi="Times New Roman" w:eastAsia="方正仿宋_GBK" w:cs="Times New Roman"/>
          <w:sz w:val="32"/>
          <w:szCs w:val="32"/>
          <w:lang w:val="en-US" w:eastAsia="zh-CN"/>
        </w:rPr>
        <w:t>5</w:t>
      </w:r>
      <w:r>
        <w:rPr>
          <w:rFonts w:hint="eastAsia" w:eastAsia="方正仿宋_GBK" w:cs="Times New Roman"/>
          <w:sz w:val="32"/>
          <w:szCs w:val="32"/>
          <w:lang w:val="en-US" w:eastAsia="zh-CN"/>
        </w:rPr>
        <w:t>7</w:t>
      </w:r>
      <w:r>
        <w:rPr>
          <w:rFonts w:hint="default" w:ascii="Times New Roman" w:hAnsi="Times New Roman" w:eastAsia="方正仿宋_GBK" w:cs="Times New Roman"/>
          <w:sz w:val="32"/>
          <w:szCs w:val="32"/>
        </w:rPr>
        <w:t>宗，总面积约</w:t>
      </w:r>
      <w:r>
        <w:rPr>
          <w:rFonts w:hint="eastAsia" w:eastAsia="方正仿宋_GBK" w:cs="Times New Roman"/>
          <w:sz w:val="32"/>
          <w:szCs w:val="32"/>
          <w:lang w:val="en-US" w:eastAsia="zh-CN"/>
        </w:rPr>
        <w:t>2761</w:t>
      </w:r>
      <w:r>
        <w:rPr>
          <w:rFonts w:hint="default" w:ascii="Times New Roman" w:hAnsi="Times New Roman" w:eastAsia="方正仿宋_GBK" w:cs="Times New Roman"/>
          <w:sz w:val="32"/>
          <w:szCs w:val="32"/>
        </w:rPr>
        <w:t>亩</w:t>
      </w:r>
      <w:r>
        <w:rPr>
          <w:rFonts w:hint="eastAsia" w:eastAsia="方正仿宋_GBK" w:cs="Times New Roman"/>
          <w:sz w:val="32"/>
          <w:szCs w:val="32"/>
          <w:lang w:eastAsia="zh-CN"/>
        </w:rPr>
        <w:t>，</w:t>
      </w:r>
      <w:r>
        <w:rPr>
          <w:rFonts w:hint="default" w:ascii="Times New Roman" w:hAnsi="Times New Roman" w:eastAsia="方正仿宋_GBK" w:cs="Times New Roman"/>
          <w:sz w:val="32"/>
          <w:szCs w:val="32"/>
        </w:rPr>
        <w:t>具体</w:t>
      </w:r>
      <w:r>
        <w:rPr>
          <w:rFonts w:hint="eastAsia" w:eastAsia="方正仿宋_GBK" w:cs="Times New Roman"/>
          <w:sz w:val="32"/>
          <w:szCs w:val="32"/>
          <w:lang w:eastAsia="zh-CN"/>
        </w:rPr>
        <w:t>地点明细见附表。</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楷体_GBK" w:cs="Times New Roman"/>
          <w:sz w:val="32"/>
          <w:szCs w:val="32"/>
        </w:rPr>
      </w:pPr>
      <w:r>
        <w:rPr>
          <w:rFonts w:hint="default" w:ascii="Times New Roman" w:hAnsi="Times New Roman" w:eastAsia="方正楷体_GBK" w:cs="Times New Roman"/>
          <w:sz w:val="32"/>
          <w:szCs w:val="32"/>
        </w:rPr>
        <w:t>（一）渝兴公司已征未用土地</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left"/>
        <w:textAlignment w:val="auto"/>
        <w:outlineLvl w:val="9"/>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rPr>
        <w:t>渝兴公司已征未用土地总面积约</w:t>
      </w:r>
      <w:r>
        <w:rPr>
          <w:rFonts w:hint="eastAsia" w:ascii="方正仿宋_GBK" w:hAnsi="方正仿宋_GBK" w:eastAsia="方正仿宋_GBK" w:cs="方正仿宋_GBK"/>
          <w:sz w:val="32"/>
          <w:szCs w:val="32"/>
          <w:lang w:val="en-US" w:eastAsia="zh-CN"/>
        </w:rPr>
        <w:t>53宗，一般管护面积988</w:t>
      </w:r>
      <w:r>
        <w:rPr>
          <w:rFonts w:hint="eastAsia" w:ascii="方正仿宋_GBK" w:hAnsi="方正仿宋_GBK" w:eastAsia="方正仿宋_GBK" w:cs="方正仿宋_GBK"/>
          <w:sz w:val="32"/>
          <w:szCs w:val="32"/>
        </w:rPr>
        <w:t>亩</w:t>
      </w:r>
      <w:r>
        <w:rPr>
          <w:rFonts w:hint="eastAsia" w:ascii="方正仿宋_GBK" w:hAnsi="方正仿宋_GBK" w:eastAsia="方正仿宋_GBK" w:cs="方正仿宋_GBK"/>
          <w:sz w:val="32"/>
          <w:szCs w:val="32"/>
          <w:lang w:eastAsia="zh-CN"/>
        </w:rPr>
        <w:t>。</w:t>
      </w:r>
    </w:p>
    <w:p>
      <w:pPr>
        <w:keepNext w:val="0"/>
        <w:keepLines w:val="0"/>
        <w:pageBreakBefore w:val="0"/>
        <w:widowControl/>
        <w:numPr>
          <w:ilvl w:val="0"/>
          <w:numId w:val="0"/>
        </w:numPr>
        <w:kinsoku/>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default" w:ascii="Times New Roman" w:hAnsi="Times New Roman" w:eastAsia="方正仿宋_GBK" w:cs="Times New Roman"/>
          <w:sz w:val="32"/>
          <w:szCs w:val="32"/>
        </w:rPr>
      </w:pPr>
      <w:r>
        <w:rPr>
          <w:rFonts w:hint="eastAsia" w:ascii="方正仿宋_GBK" w:hAnsi="方正仿宋_GBK" w:eastAsia="方正仿宋_GBK" w:cs="方正仿宋_GBK"/>
          <w:sz w:val="32"/>
          <w:szCs w:val="32"/>
          <w:lang w:val="en-US" w:eastAsia="zh-CN"/>
        </w:rPr>
        <w:t>1.位于</w:t>
      </w:r>
      <w:r>
        <w:rPr>
          <w:rFonts w:hint="eastAsia" w:ascii="方正仿宋_GBK" w:hAnsi="方正仿宋_GBK" w:eastAsia="方正仿宋_GBK" w:cs="方正仿宋_GBK"/>
          <w:sz w:val="32"/>
          <w:szCs w:val="32"/>
          <w:lang w:eastAsia="zh-CN"/>
        </w:rPr>
        <w:t>龙洲湾街道</w:t>
      </w:r>
      <w:r>
        <w:rPr>
          <w:rFonts w:hint="eastAsia" w:ascii="方正仿宋_GBK" w:hAnsi="方正仿宋_GBK" w:eastAsia="方正仿宋_GBK" w:cs="方正仿宋_GBK"/>
          <w:sz w:val="32"/>
          <w:szCs w:val="32"/>
          <w:lang w:val="en-US" w:eastAsia="zh-CN"/>
        </w:rPr>
        <w:t>16宗524亩。</w:t>
      </w:r>
      <w:r>
        <w:rPr>
          <w:rFonts w:hint="eastAsia" w:ascii="方正仿宋_GBK" w:hAnsi="方正仿宋_GBK" w:eastAsia="方正仿宋_GBK" w:cs="方正仿宋_GBK"/>
          <w:sz w:val="32"/>
          <w:szCs w:val="32"/>
        </w:rPr>
        <w:t>位于李家沱</w:t>
      </w:r>
      <w:r>
        <w:rPr>
          <w:rFonts w:hint="eastAsia" w:ascii="方正仿宋_GBK" w:hAnsi="方正仿宋_GBK" w:eastAsia="方正仿宋_GBK" w:cs="方正仿宋_GBK"/>
          <w:sz w:val="32"/>
          <w:szCs w:val="32"/>
          <w:lang w:eastAsia="zh-CN"/>
        </w:rPr>
        <w:t>街道</w:t>
      </w:r>
      <w:r>
        <w:rPr>
          <w:rFonts w:hint="eastAsia" w:ascii="方正仿宋_GBK" w:hAnsi="方正仿宋_GBK" w:eastAsia="方正仿宋_GBK" w:cs="方正仿宋_GBK"/>
          <w:sz w:val="32"/>
          <w:szCs w:val="32"/>
          <w:lang w:val="en-US" w:eastAsia="zh-CN"/>
        </w:rPr>
        <w:t>2宗41亩；位于</w:t>
      </w:r>
      <w:r>
        <w:rPr>
          <w:rFonts w:hint="eastAsia" w:ascii="方正仿宋_GBK" w:hAnsi="方正仿宋_GBK" w:eastAsia="方正仿宋_GBK" w:cs="方正仿宋_GBK"/>
          <w:sz w:val="32"/>
          <w:szCs w:val="32"/>
        </w:rPr>
        <w:t>花溪</w:t>
      </w:r>
      <w:r>
        <w:rPr>
          <w:rFonts w:hint="eastAsia" w:ascii="方正仿宋_GBK" w:hAnsi="方正仿宋_GBK" w:eastAsia="方正仿宋_GBK" w:cs="方正仿宋_GBK"/>
          <w:sz w:val="32"/>
          <w:szCs w:val="32"/>
          <w:lang w:eastAsia="zh-CN"/>
        </w:rPr>
        <w:t>街道</w:t>
      </w:r>
      <w:r>
        <w:rPr>
          <w:rFonts w:hint="eastAsia" w:ascii="方正仿宋_GBK" w:hAnsi="方正仿宋_GBK" w:eastAsia="方正仿宋_GBK" w:cs="方正仿宋_GBK"/>
          <w:sz w:val="32"/>
          <w:szCs w:val="32"/>
          <w:lang w:val="en-US" w:eastAsia="zh-CN"/>
        </w:rPr>
        <w:t>8宗173亩；</w:t>
      </w:r>
      <w:r>
        <w:rPr>
          <w:rFonts w:hint="eastAsia" w:ascii="方正仿宋_GBK" w:hAnsi="方正仿宋_GBK" w:eastAsia="方正仿宋_GBK" w:cs="方正仿宋_GBK"/>
          <w:sz w:val="32"/>
          <w:szCs w:val="32"/>
          <w:lang w:eastAsia="zh-CN"/>
        </w:rPr>
        <w:t>位于</w:t>
      </w:r>
      <w:r>
        <w:rPr>
          <w:rFonts w:hint="eastAsia" w:ascii="方正仿宋_GBK" w:hAnsi="方正仿宋_GBK" w:eastAsia="方正仿宋_GBK" w:cs="方正仿宋_GBK"/>
          <w:sz w:val="32"/>
          <w:szCs w:val="32"/>
        </w:rPr>
        <w:t>莲花</w:t>
      </w:r>
      <w:r>
        <w:rPr>
          <w:rFonts w:hint="eastAsia" w:ascii="方正仿宋_GBK" w:hAnsi="方正仿宋_GBK" w:eastAsia="方正仿宋_GBK" w:cs="方正仿宋_GBK"/>
          <w:sz w:val="32"/>
          <w:szCs w:val="32"/>
          <w:lang w:eastAsia="zh-CN"/>
        </w:rPr>
        <w:t>街道</w:t>
      </w:r>
      <w:r>
        <w:rPr>
          <w:rFonts w:hint="eastAsia" w:ascii="方正仿宋_GBK" w:hAnsi="方正仿宋_GBK" w:eastAsia="方正仿宋_GBK" w:cs="方正仿宋_GBK"/>
          <w:sz w:val="32"/>
          <w:szCs w:val="32"/>
          <w:lang w:val="en-US" w:eastAsia="zh-CN"/>
        </w:rPr>
        <w:t>11宗175亩。</w:t>
      </w:r>
    </w:p>
    <w:p>
      <w:pPr>
        <w:keepNext w:val="0"/>
        <w:keepLines w:val="0"/>
        <w:pageBreakBefore w:val="0"/>
        <w:widowControl/>
        <w:numPr>
          <w:ilvl w:val="0"/>
          <w:numId w:val="0"/>
        </w:numPr>
        <w:kinsoku/>
        <w:overflowPunct/>
        <w:topLinePunct w:val="0"/>
        <w:autoSpaceDE/>
        <w:autoSpaceDN/>
        <w:bidi w:val="0"/>
        <w:adjustRightInd/>
        <w:snapToGrid/>
        <w:spacing w:line="600" w:lineRule="exact"/>
        <w:ind w:right="0" w:rightChars="0" w:firstLine="640" w:firstLineChars="200"/>
        <w:jc w:val="left"/>
        <w:textAlignment w:val="auto"/>
        <w:outlineLvl w:val="9"/>
        <w:rPr>
          <w:rFonts w:hint="default" w:ascii="Times New Roman" w:hAnsi="Times New Roman" w:eastAsia="方正仿宋_GBK" w:cs="Times New Roman"/>
          <w:sz w:val="32"/>
          <w:szCs w:val="32"/>
        </w:rPr>
      </w:pPr>
      <w:r>
        <w:rPr>
          <w:rFonts w:hint="eastAsia" w:ascii="方正仿宋_GBK" w:hAnsi="方正仿宋_GBK" w:eastAsia="方正仿宋_GBK" w:cs="方正仿宋_GBK"/>
          <w:sz w:val="32"/>
          <w:szCs w:val="32"/>
          <w:lang w:val="en-US" w:eastAsia="zh-CN"/>
        </w:rPr>
        <w:t>2.</w:t>
      </w:r>
      <w:r>
        <w:rPr>
          <w:rFonts w:hint="eastAsia" w:ascii="方正仿宋_GBK" w:hAnsi="方正仿宋_GBK" w:eastAsia="方正仿宋_GBK" w:cs="方正仿宋_GBK"/>
          <w:sz w:val="32"/>
          <w:szCs w:val="32"/>
        </w:rPr>
        <w:t>位于跳石镇、界石镇、东泉镇、姜家镇、南彭街道六个镇街需一般管护土地</w:t>
      </w:r>
      <w:r>
        <w:rPr>
          <w:rFonts w:hint="eastAsia" w:ascii="方正仿宋_GBK" w:hAnsi="方正仿宋_GBK" w:eastAsia="方正仿宋_GBK" w:cs="方正仿宋_GBK"/>
          <w:sz w:val="32"/>
          <w:szCs w:val="32"/>
          <w:lang w:val="en-US" w:eastAsia="zh-CN"/>
        </w:rPr>
        <w:t>13</w:t>
      </w:r>
      <w:r>
        <w:rPr>
          <w:rFonts w:hint="eastAsia" w:ascii="方正仿宋_GBK" w:hAnsi="方正仿宋_GBK" w:eastAsia="方正仿宋_GBK" w:cs="方正仿宋_GBK"/>
          <w:sz w:val="32"/>
          <w:szCs w:val="32"/>
        </w:rPr>
        <w:t>宗，面积约</w:t>
      </w:r>
      <w:r>
        <w:rPr>
          <w:rFonts w:hint="eastAsia" w:ascii="方正仿宋_GBK" w:hAnsi="方正仿宋_GBK" w:eastAsia="方正仿宋_GBK" w:cs="方正仿宋_GBK"/>
          <w:sz w:val="32"/>
          <w:szCs w:val="32"/>
          <w:lang w:val="en-US" w:eastAsia="zh-CN"/>
        </w:rPr>
        <w:t>75</w:t>
      </w:r>
      <w:r>
        <w:rPr>
          <w:rFonts w:hint="eastAsia" w:ascii="方正仿宋_GBK" w:hAnsi="方正仿宋_GBK" w:eastAsia="方正仿宋_GBK" w:cs="方正仿宋_GBK"/>
          <w:sz w:val="32"/>
          <w:szCs w:val="32"/>
        </w:rPr>
        <w:t>亩。</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（二）高职城片区已征未用土地</w:t>
      </w:r>
    </w:p>
    <w:p>
      <w:pPr>
        <w:keepNext w:val="0"/>
        <w:keepLines w:val="0"/>
        <w:pageBreakBefore w:val="0"/>
        <w:widowControl/>
        <w:kinsoku/>
        <w:overflowPunct/>
        <w:topLinePunct w:val="0"/>
        <w:autoSpaceDE/>
        <w:autoSpaceDN/>
        <w:bidi w:val="0"/>
        <w:adjustRightInd/>
        <w:snapToGrid/>
        <w:spacing w:line="600" w:lineRule="exact"/>
        <w:ind w:right="0" w:rightChars="0"/>
        <w:jc w:val="both"/>
        <w:textAlignment w:val="auto"/>
        <w:outlineLvl w:val="9"/>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职教城公司</w:t>
      </w:r>
      <w:r>
        <w:rPr>
          <w:rFonts w:hint="eastAsia" w:ascii="方正仿宋_GBK" w:hAnsi="方正仿宋_GBK" w:eastAsia="方正仿宋_GBK" w:cs="方正仿宋_GBK"/>
          <w:sz w:val="32"/>
          <w:szCs w:val="32"/>
          <w:lang w:eastAsia="zh-CN"/>
        </w:rPr>
        <w:t>已征</w:t>
      </w:r>
      <w:r>
        <w:rPr>
          <w:rFonts w:hint="eastAsia" w:ascii="方正仿宋_GBK" w:hAnsi="方正仿宋_GBK" w:eastAsia="方正仿宋_GBK" w:cs="方正仿宋_GBK"/>
          <w:sz w:val="32"/>
          <w:szCs w:val="32"/>
        </w:rPr>
        <w:t>未利用土地</w:t>
      </w:r>
      <w:r>
        <w:rPr>
          <w:rFonts w:hint="eastAsia" w:ascii="方正仿宋_GBK" w:hAnsi="方正仿宋_GBK" w:eastAsia="方正仿宋_GBK" w:cs="方正仿宋_GBK"/>
          <w:sz w:val="32"/>
          <w:szCs w:val="32"/>
          <w:lang w:val="en-US" w:eastAsia="zh-CN"/>
        </w:rPr>
        <w:t>4</w:t>
      </w:r>
      <w:r>
        <w:rPr>
          <w:rFonts w:hint="eastAsia" w:ascii="方正仿宋_GBK" w:hAnsi="方正仿宋_GBK" w:eastAsia="方正仿宋_GBK" w:cs="方正仿宋_GBK"/>
          <w:sz w:val="32"/>
          <w:szCs w:val="32"/>
        </w:rPr>
        <w:t>宗</w:t>
      </w:r>
      <w:r>
        <w:rPr>
          <w:rFonts w:hint="eastAsia" w:ascii="方正仿宋_GBK" w:hAnsi="方正仿宋_GBK" w:eastAsia="方正仿宋_GBK" w:cs="方正仿宋_GBK"/>
          <w:sz w:val="32"/>
          <w:szCs w:val="32"/>
          <w:lang w:val="en-US" w:eastAsia="zh-CN"/>
        </w:rPr>
        <w:t>1773</w:t>
      </w:r>
      <w:r>
        <w:rPr>
          <w:rFonts w:hint="eastAsia" w:ascii="方正仿宋_GBK" w:hAnsi="方正仿宋_GBK" w:eastAsia="方正仿宋_GBK" w:cs="方正仿宋_GBK"/>
          <w:sz w:val="32"/>
          <w:szCs w:val="32"/>
        </w:rPr>
        <w:t>亩</w:t>
      </w:r>
      <w:r>
        <w:rPr>
          <w:rFonts w:hint="eastAsia" w:ascii="方正仿宋_GBK" w:hAnsi="方正仿宋_GBK" w:eastAsia="方正仿宋_GBK" w:cs="方正仿宋_GBK"/>
          <w:sz w:val="32"/>
          <w:szCs w:val="32"/>
          <w:lang w:eastAsia="zh-CN"/>
        </w:rPr>
        <w:t>。</w:t>
      </w:r>
    </w:p>
    <w:p>
      <w:pPr>
        <w:keepNext w:val="0"/>
        <w:keepLines w:val="0"/>
        <w:pageBreakBefore w:val="0"/>
        <w:widowControl/>
        <w:numPr>
          <w:ilvl w:val="0"/>
          <w:numId w:val="0"/>
        </w:numPr>
        <w:kinsoku/>
        <w:overflowPunct/>
        <w:topLinePunct w:val="0"/>
        <w:autoSpaceDE/>
        <w:autoSpaceDN/>
        <w:bidi w:val="0"/>
        <w:adjustRightInd/>
        <w:snapToGrid/>
        <w:spacing w:line="600" w:lineRule="exact"/>
        <w:ind w:right="0" w:rightChars="0"/>
        <w:jc w:val="both"/>
        <w:textAlignment w:val="auto"/>
        <w:outlineLvl w:val="9"/>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 xml:space="preserve">    1.</w:t>
      </w:r>
      <w:r>
        <w:rPr>
          <w:rFonts w:hint="eastAsia" w:ascii="方正仿宋_GBK" w:hAnsi="方正仿宋_GBK" w:eastAsia="方正仿宋_GBK" w:cs="方正仿宋_GBK"/>
          <w:sz w:val="32"/>
          <w:szCs w:val="32"/>
        </w:rPr>
        <w:t>位于龙洲湾街道规划区内需一般管护土地</w:t>
      </w:r>
      <w:r>
        <w:rPr>
          <w:rFonts w:hint="eastAsia" w:ascii="方正仿宋_GBK" w:hAnsi="方正仿宋_GBK" w:eastAsia="方正仿宋_GBK" w:cs="方正仿宋_GBK"/>
          <w:sz w:val="32"/>
          <w:szCs w:val="32"/>
          <w:lang w:val="en-US" w:eastAsia="zh-CN"/>
        </w:rPr>
        <w:t>3</w:t>
      </w:r>
      <w:r>
        <w:rPr>
          <w:rFonts w:hint="eastAsia" w:ascii="方正仿宋_GBK" w:hAnsi="方正仿宋_GBK" w:eastAsia="方正仿宋_GBK" w:cs="方正仿宋_GBK"/>
          <w:sz w:val="32"/>
          <w:szCs w:val="32"/>
        </w:rPr>
        <w:t>宗1</w:t>
      </w:r>
      <w:r>
        <w:rPr>
          <w:rFonts w:hint="eastAsia" w:ascii="方正仿宋_GBK" w:hAnsi="方正仿宋_GBK" w:eastAsia="方正仿宋_GBK" w:cs="方正仿宋_GBK"/>
          <w:sz w:val="32"/>
          <w:szCs w:val="32"/>
          <w:lang w:val="en-US" w:eastAsia="zh-CN"/>
        </w:rPr>
        <w:t>497</w:t>
      </w:r>
      <w:r>
        <w:rPr>
          <w:rFonts w:hint="eastAsia" w:ascii="方正仿宋_GBK" w:hAnsi="方正仿宋_GBK" w:eastAsia="方正仿宋_GBK" w:cs="方正仿宋_GBK"/>
          <w:sz w:val="32"/>
          <w:szCs w:val="32"/>
        </w:rPr>
        <w:t>亩</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lang w:val="en-US" w:eastAsia="zh-CN"/>
        </w:rPr>
        <w:t xml:space="preserve"> </w:t>
      </w:r>
    </w:p>
    <w:p>
      <w:pPr>
        <w:keepNext w:val="0"/>
        <w:keepLines w:val="0"/>
        <w:pageBreakBefore w:val="0"/>
        <w:widowControl/>
        <w:numPr>
          <w:ilvl w:val="0"/>
          <w:numId w:val="0"/>
        </w:numPr>
        <w:kinsoku/>
        <w:overflowPunct/>
        <w:topLinePunct w:val="0"/>
        <w:autoSpaceDE/>
        <w:autoSpaceDN/>
        <w:bidi w:val="0"/>
        <w:adjustRightInd/>
        <w:snapToGrid/>
        <w:spacing w:line="600" w:lineRule="exact"/>
        <w:ind w:right="0" w:rightChars="0" w:firstLine="640" w:firstLineChars="200"/>
        <w:jc w:val="both"/>
        <w:textAlignment w:val="auto"/>
        <w:outlineLvl w:val="9"/>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val="en-US" w:eastAsia="zh-CN"/>
        </w:rPr>
        <w:t>2.</w:t>
      </w:r>
      <w:r>
        <w:rPr>
          <w:rFonts w:hint="eastAsia" w:ascii="方正仿宋_GBK" w:hAnsi="方正仿宋_GBK" w:eastAsia="方正仿宋_GBK" w:cs="方正仿宋_GBK"/>
          <w:sz w:val="32"/>
          <w:szCs w:val="32"/>
        </w:rPr>
        <w:t>位于鱼洞街道1宗</w:t>
      </w:r>
      <w:r>
        <w:rPr>
          <w:rFonts w:hint="eastAsia" w:ascii="方正仿宋_GBK" w:hAnsi="方正仿宋_GBK" w:eastAsia="方正仿宋_GBK" w:cs="方正仿宋_GBK"/>
          <w:sz w:val="32"/>
          <w:szCs w:val="32"/>
          <w:lang w:val="en-US" w:eastAsia="zh-CN"/>
        </w:rPr>
        <w:t>276</w:t>
      </w:r>
      <w:r>
        <w:rPr>
          <w:rFonts w:hint="eastAsia" w:ascii="方正仿宋_GBK" w:hAnsi="方正仿宋_GBK" w:eastAsia="方正仿宋_GBK" w:cs="方正仿宋_GBK"/>
          <w:sz w:val="32"/>
          <w:szCs w:val="32"/>
        </w:rPr>
        <w:t>亩</w:t>
      </w:r>
      <w:r>
        <w:rPr>
          <w:rFonts w:hint="eastAsia" w:ascii="方正仿宋_GBK" w:hAnsi="方正仿宋_GBK" w:eastAsia="方正仿宋_GBK" w:cs="方正仿宋_GBK"/>
          <w:sz w:val="32"/>
          <w:szCs w:val="32"/>
          <w:lang w:eastAsia="zh-CN"/>
        </w:rPr>
        <w:t>。</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二、管护职责要求</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巡查单位应严格按照巴南区政府相关文件精神，采取有效措施对已征未用土地进行巡查、值守。巡查人员须统一着正规制服，巡查车辆不少于</w:t>
      </w:r>
      <w:r>
        <w:rPr>
          <w:rFonts w:hint="eastAsia" w:eastAsia="方正仿宋_GBK" w:cs="Times New Roman"/>
          <w:sz w:val="32"/>
          <w:szCs w:val="32"/>
          <w:lang w:val="en-US" w:eastAsia="zh-CN"/>
        </w:rPr>
        <w:t>3</w:t>
      </w:r>
      <w:r>
        <w:rPr>
          <w:rFonts w:hint="default" w:ascii="Times New Roman" w:hAnsi="Times New Roman" w:eastAsia="方正仿宋_GBK" w:cs="Times New Roman"/>
          <w:sz w:val="32"/>
          <w:szCs w:val="32"/>
          <w:u w:val="none"/>
        </w:rPr>
        <w:t>辆</w:t>
      </w:r>
      <w:r>
        <w:rPr>
          <w:rFonts w:hint="default" w:ascii="Times New Roman" w:hAnsi="Times New Roman" w:eastAsia="方正仿宋_GBK" w:cs="Times New Roman"/>
          <w:sz w:val="32"/>
          <w:szCs w:val="32"/>
        </w:rPr>
        <w:t>，巡查值守人员不少于</w:t>
      </w:r>
      <w:r>
        <w:rPr>
          <w:rFonts w:hint="eastAsia" w:eastAsia="方正仿宋_GBK" w:cs="Times New Roman"/>
          <w:sz w:val="32"/>
          <w:szCs w:val="32"/>
          <w:u w:val="single"/>
          <w:lang w:val="en-US" w:eastAsia="zh-CN"/>
        </w:rPr>
        <w:t>10</w:t>
      </w:r>
      <w:r>
        <w:rPr>
          <w:rFonts w:hint="default" w:ascii="Times New Roman" w:hAnsi="Times New Roman" w:eastAsia="方正仿宋_GBK" w:cs="Times New Roman"/>
          <w:sz w:val="32"/>
          <w:szCs w:val="32"/>
          <w:u w:val="none"/>
        </w:rPr>
        <w:t>人</w:t>
      </w:r>
      <w:r>
        <w:rPr>
          <w:rFonts w:hint="default" w:ascii="Times New Roman" w:hAnsi="Times New Roman" w:eastAsia="方正仿宋_GBK" w:cs="Times New Roman"/>
          <w:sz w:val="32"/>
          <w:szCs w:val="32"/>
        </w:rPr>
        <w:t>，巡查车辆须标识土地管护巡逻等字样，车载配备轮胎锁、种植物、建构筑物清除等常用工具。</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楷体_GBK" w:cs="Times New Roman"/>
          <w:sz w:val="32"/>
          <w:szCs w:val="32"/>
        </w:rPr>
      </w:pPr>
      <w:r>
        <w:rPr>
          <w:rFonts w:hint="default" w:ascii="Times New Roman" w:hAnsi="Times New Roman" w:eastAsia="方正楷体_GBK" w:cs="Times New Roman"/>
          <w:sz w:val="32"/>
          <w:szCs w:val="32"/>
        </w:rPr>
        <w:t>（一）不同宗地的管护要求</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eastAsia"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rPr>
        <w:t>1.主城镇街一般管护土地</w:t>
      </w:r>
      <w:r>
        <w:rPr>
          <w:rFonts w:hint="default" w:ascii="Times New Roman" w:hAnsi="Times New Roman" w:eastAsia="方正仿宋_GBK" w:cs="Times New Roman"/>
          <w:sz w:val="32"/>
          <w:szCs w:val="32"/>
          <w:lang w:eastAsia="zh-CN"/>
        </w:rPr>
        <w:t>约</w:t>
      </w:r>
      <w:r>
        <w:rPr>
          <w:rFonts w:hint="eastAsia" w:eastAsia="方正仿宋_GBK" w:cs="Times New Roman"/>
          <w:sz w:val="32"/>
          <w:szCs w:val="32"/>
          <w:lang w:val="en-US" w:eastAsia="zh-CN"/>
        </w:rPr>
        <w:t>2761</w:t>
      </w:r>
      <w:r>
        <w:rPr>
          <w:rFonts w:hint="default" w:ascii="Times New Roman" w:hAnsi="Times New Roman" w:eastAsia="方正仿宋_GBK" w:cs="Times New Roman"/>
          <w:sz w:val="32"/>
          <w:szCs w:val="32"/>
          <w:lang w:eastAsia="zh-CN"/>
        </w:rPr>
        <w:t>亩，</w:t>
      </w:r>
      <w:r>
        <w:rPr>
          <w:rFonts w:hint="default" w:ascii="Times New Roman" w:hAnsi="Times New Roman" w:eastAsia="方正仿宋_GBK" w:cs="Times New Roman"/>
          <w:sz w:val="32"/>
          <w:szCs w:val="32"/>
        </w:rPr>
        <w:t>重点开展</w:t>
      </w:r>
      <w:r>
        <w:rPr>
          <w:rFonts w:hint="eastAsia" w:eastAsia="方正仿宋_GBK" w:cs="Times New Roman"/>
          <w:sz w:val="32"/>
          <w:szCs w:val="32"/>
          <w:lang w:eastAsia="zh-CN"/>
        </w:rPr>
        <w:t>管护地块</w:t>
      </w:r>
      <w:r>
        <w:rPr>
          <w:rFonts w:hint="default" w:ascii="Times New Roman" w:hAnsi="Times New Roman" w:eastAsia="方正仿宋_GBK" w:cs="Times New Roman"/>
          <w:sz w:val="32"/>
          <w:szCs w:val="32"/>
        </w:rPr>
        <w:t>违法倒渣、违章搭建、种</w:t>
      </w:r>
      <w:r>
        <w:rPr>
          <w:rFonts w:hint="eastAsia" w:eastAsia="方正仿宋_GBK" w:cs="Times New Roman"/>
          <w:sz w:val="32"/>
          <w:szCs w:val="32"/>
          <w:lang w:eastAsia="zh-CN"/>
        </w:rPr>
        <w:t>、</w:t>
      </w:r>
      <w:r>
        <w:rPr>
          <w:rFonts w:hint="default" w:ascii="Times New Roman" w:hAnsi="Times New Roman" w:eastAsia="方正仿宋_GBK" w:cs="Times New Roman"/>
          <w:sz w:val="32"/>
          <w:szCs w:val="32"/>
        </w:rPr>
        <w:t>养殖</w:t>
      </w:r>
      <w:r>
        <w:rPr>
          <w:rFonts w:hint="eastAsia" w:eastAsia="方正仿宋_GBK" w:cs="Times New Roman"/>
          <w:sz w:val="32"/>
          <w:szCs w:val="32"/>
          <w:lang w:eastAsia="zh-CN"/>
        </w:rPr>
        <w:t>；</w:t>
      </w:r>
      <w:r>
        <w:rPr>
          <w:rFonts w:hint="default" w:ascii="Times New Roman" w:hAnsi="Times New Roman" w:eastAsia="方正仿宋_GBK" w:cs="Times New Roman"/>
          <w:sz w:val="32"/>
          <w:szCs w:val="32"/>
        </w:rPr>
        <w:t>围挡设施安全隐患</w:t>
      </w:r>
      <w:r>
        <w:rPr>
          <w:rFonts w:hint="eastAsia" w:eastAsia="方正仿宋_GBK" w:cs="Times New Roman"/>
          <w:sz w:val="32"/>
          <w:szCs w:val="32"/>
          <w:lang w:eastAsia="zh-CN"/>
        </w:rPr>
        <w:t>排除及简单维护工作；林区、居民区附近开展夏季森林防火宣传工作；</w:t>
      </w:r>
      <w:r>
        <w:rPr>
          <w:rFonts w:hint="default" w:ascii="Times New Roman" w:hAnsi="Times New Roman" w:eastAsia="方正仿宋_GBK" w:cs="Times New Roman"/>
          <w:sz w:val="32"/>
          <w:szCs w:val="32"/>
          <w:lang w:eastAsia="zh-CN"/>
        </w:rPr>
        <w:t>巩卫创文</w:t>
      </w:r>
      <w:r>
        <w:rPr>
          <w:rFonts w:hint="default" w:ascii="Times New Roman" w:hAnsi="Times New Roman" w:eastAsia="方正仿宋_GBK" w:cs="Times New Roman"/>
          <w:sz w:val="32"/>
          <w:szCs w:val="32"/>
        </w:rPr>
        <w:t>等问题巡查处置工作</w:t>
      </w:r>
      <w:r>
        <w:rPr>
          <w:rFonts w:hint="eastAsia" w:eastAsia="方正仿宋_GBK" w:cs="Times New Roman"/>
          <w:sz w:val="32"/>
          <w:szCs w:val="32"/>
          <w:lang w:eastAsia="zh-CN"/>
        </w:rPr>
        <w:t>。</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eastAsia" w:eastAsia="方正仿宋_GBK" w:cs="Times New Roman"/>
          <w:sz w:val="32"/>
          <w:szCs w:val="32"/>
          <w:lang w:eastAsia="zh-CN"/>
        </w:rPr>
      </w:pPr>
      <w:r>
        <w:rPr>
          <w:rFonts w:hint="eastAsia" w:eastAsia="方正仿宋_GBK" w:cs="Times New Roman"/>
          <w:sz w:val="32"/>
          <w:szCs w:val="32"/>
          <w:lang w:val="en-US" w:eastAsia="zh-CN"/>
        </w:rPr>
        <w:t>2</w:t>
      </w:r>
      <w:r>
        <w:rPr>
          <w:rFonts w:hint="default" w:ascii="Times New Roman" w:hAnsi="Times New Roman" w:eastAsia="方正仿宋_GBK" w:cs="Times New Roman"/>
          <w:sz w:val="32"/>
          <w:szCs w:val="32"/>
        </w:rPr>
        <w:t>.其他镇街一般管护土地</w:t>
      </w:r>
      <w:r>
        <w:rPr>
          <w:rFonts w:hint="default" w:ascii="Times New Roman" w:hAnsi="Times New Roman" w:eastAsia="方正仿宋_GBK" w:cs="Times New Roman"/>
          <w:sz w:val="32"/>
          <w:szCs w:val="32"/>
          <w:lang w:eastAsia="zh-CN"/>
        </w:rPr>
        <w:t>（约</w:t>
      </w:r>
      <w:r>
        <w:rPr>
          <w:rFonts w:hint="eastAsia" w:eastAsia="方正仿宋_GBK" w:cs="Times New Roman"/>
          <w:sz w:val="32"/>
          <w:szCs w:val="32"/>
          <w:lang w:val="en-US" w:eastAsia="zh-CN"/>
        </w:rPr>
        <w:t>75</w:t>
      </w:r>
      <w:r>
        <w:rPr>
          <w:rFonts w:hint="default" w:ascii="Times New Roman" w:hAnsi="Times New Roman" w:eastAsia="方正仿宋_GBK" w:cs="Times New Roman"/>
          <w:sz w:val="32"/>
          <w:szCs w:val="32"/>
          <w:lang w:val="en-US" w:eastAsia="zh-CN"/>
        </w:rPr>
        <w:t>亩</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重点开展违法倒渣、违章搭建、种养殖、围挡设施安全隐患等问题巡查处置工作</w:t>
      </w:r>
      <w:r>
        <w:rPr>
          <w:rFonts w:hint="eastAsia" w:eastAsia="方正仿宋_GBK" w:cs="Times New Roman"/>
          <w:sz w:val="32"/>
          <w:szCs w:val="32"/>
          <w:lang w:eastAsia="zh-CN"/>
        </w:rPr>
        <w:t>。</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楷体_GBK" w:cs="Times New Roman"/>
          <w:sz w:val="32"/>
          <w:szCs w:val="32"/>
        </w:rPr>
      </w:pPr>
      <w:r>
        <w:rPr>
          <w:rFonts w:hint="default" w:ascii="Times New Roman" w:hAnsi="Times New Roman" w:eastAsia="方正楷体_GBK" w:cs="Times New Roman"/>
          <w:sz w:val="32"/>
          <w:szCs w:val="32"/>
        </w:rPr>
        <w:t>（二）对涉嫌违法运输弃土弃渣车辆的处置</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在巡查、值守过程中，发现涉嫌违法运输弃土弃渣的车辆，须采取恰当方式拦停并摄像取证，查看出渣手续、运输路线审批情况。对无出渣手续、运输路线审批或相关手续的，通知区公安分局、区城市管理局、区交通局到场查处，并采取必要的紧急措施防止车辆和驾驶人逃逸。</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楷体_GBK" w:cs="Times New Roman"/>
          <w:sz w:val="32"/>
          <w:szCs w:val="32"/>
        </w:rPr>
      </w:pPr>
      <w:r>
        <w:rPr>
          <w:rFonts w:hint="default" w:ascii="Times New Roman" w:hAnsi="Times New Roman" w:eastAsia="方正楷体_GBK" w:cs="Times New Roman"/>
          <w:sz w:val="32"/>
          <w:szCs w:val="32"/>
        </w:rPr>
        <w:t>（三）对新增种植物</w:t>
      </w:r>
      <w:r>
        <w:rPr>
          <w:rFonts w:hint="eastAsia" w:ascii="Times New Roman" w:hAnsi="Times New Roman" w:eastAsia="方正楷体_GBK" w:cs="Times New Roman"/>
          <w:sz w:val="32"/>
          <w:szCs w:val="32"/>
          <w:lang w:eastAsia="zh-CN"/>
        </w:rPr>
        <w:t>、暴露垃圾</w:t>
      </w:r>
      <w:r>
        <w:rPr>
          <w:rFonts w:hint="default" w:ascii="Times New Roman" w:hAnsi="Times New Roman" w:eastAsia="方正楷体_GBK" w:cs="Times New Roman"/>
          <w:sz w:val="32"/>
          <w:szCs w:val="32"/>
        </w:rPr>
        <w:t>及建构筑物的处置</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在巡查、值守过程中，对发现的新增种植物</w:t>
      </w:r>
      <w:r>
        <w:rPr>
          <w:rFonts w:hint="eastAsia" w:ascii="Times New Roman" w:hAnsi="Times New Roman" w:eastAsia="方正仿宋_GBK" w:cs="Times New Roman"/>
          <w:sz w:val="32"/>
          <w:szCs w:val="32"/>
          <w:lang w:eastAsia="zh-CN"/>
        </w:rPr>
        <w:t>、暴露垃圾</w:t>
      </w:r>
      <w:r>
        <w:rPr>
          <w:rFonts w:hint="default" w:ascii="Times New Roman" w:hAnsi="Times New Roman" w:eastAsia="方正仿宋_GBK" w:cs="Times New Roman"/>
          <w:sz w:val="32"/>
          <w:szCs w:val="32"/>
        </w:rPr>
        <w:t>及简易建构筑物需立即劝告制止，并第一时间实施清除。如遇重大违建情况及突出矛盾问题时，应及时通知业主并按业主安排开展处置工作。同时针对林地区域，还应加强林地破坏及森林防火工作。</w:t>
      </w:r>
    </w:p>
    <w:p>
      <w:pPr>
        <w:keepNext w:val="0"/>
        <w:keepLines w:val="0"/>
        <w:pageBreakBefore w:val="0"/>
        <w:widowControl/>
        <w:numPr>
          <w:ilvl w:val="0"/>
          <w:numId w:val="1"/>
        </w:numPr>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楷体_GBK" w:cs="Times New Roman"/>
          <w:sz w:val="32"/>
          <w:szCs w:val="32"/>
        </w:rPr>
      </w:pPr>
      <w:r>
        <w:rPr>
          <w:rFonts w:hint="default" w:ascii="Times New Roman" w:hAnsi="Times New Roman" w:eastAsia="方正楷体_GBK" w:cs="Times New Roman"/>
          <w:sz w:val="32"/>
          <w:szCs w:val="32"/>
        </w:rPr>
        <w:t>巡查记录要求</w:t>
      </w:r>
    </w:p>
    <w:p>
      <w:pPr>
        <w:keepNext w:val="0"/>
        <w:keepLines w:val="0"/>
        <w:pageBreakBefore w:val="0"/>
        <w:widowControl/>
        <w:numPr>
          <w:ilvl w:val="0"/>
          <w:numId w:val="2"/>
        </w:numPr>
        <w:kinsoku/>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eastAsia="方正仿宋_GBK" w:cs="Times New Roman"/>
          <w:sz w:val="32"/>
          <w:szCs w:val="32"/>
          <w:lang w:eastAsia="zh-CN"/>
        </w:rPr>
      </w:pPr>
      <w:r>
        <w:rPr>
          <w:rFonts w:hint="default" w:ascii="Times New Roman" w:hAnsi="Times New Roman" w:eastAsia="方正仿宋_GBK" w:cs="Times New Roman"/>
          <w:sz w:val="32"/>
          <w:szCs w:val="32"/>
        </w:rPr>
        <w:t>对24小时值守的重点管护区域应每天记录巡查值守及处置情况和相关图片影像资料</w:t>
      </w:r>
      <w:r>
        <w:rPr>
          <w:rFonts w:hint="eastAsia" w:eastAsia="方正仿宋_GBK" w:cs="Times New Roman"/>
          <w:sz w:val="32"/>
          <w:szCs w:val="32"/>
          <w:lang w:eastAsia="zh-CN"/>
        </w:rPr>
        <w:t>。</w:t>
      </w:r>
    </w:p>
    <w:p>
      <w:pPr>
        <w:keepNext w:val="0"/>
        <w:keepLines w:val="0"/>
        <w:pageBreakBefore w:val="0"/>
        <w:widowControl/>
        <w:numPr>
          <w:ilvl w:val="0"/>
          <w:numId w:val="2"/>
        </w:numPr>
        <w:kinsoku/>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对李家沱、花溪、龙洲湾、鱼洞、莲花五个街道</w:t>
      </w:r>
      <w:r>
        <w:rPr>
          <w:rFonts w:hint="eastAsia" w:eastAsia="方正仿宋_GBK" w:cs="Times New Roman"/>
          <w:sz w:val="32"/>
          <w:szCs w:val="32"/>
          <w:lang w:eastAsia="zh-CN"/>
        </w:rPr>
        <w:t>进行一般管护土</w:t>
      </w:r>
      <w:r>
        <w:rPr>
          <w:rFonts w:hint="default" w:ascii="Times New Roman" w:hAnsi="Times New Roman" w:eastAsia="方正仿宋_GBK" w:cs="Times New Roman"/>
          <w:sz w:val="32"/>
          <w:szCs w:val="32"/>
        </w:rPr>
        <w:t>地，每天巡查不少于一次，并做好巡查及处置记录和相关图片影像资</w:t>
      </w:r>
      <w:r>
        <w:rPr>
          <w:rFonts w:hint="eastAsia" w:eastAsia="方正仿宋_GBK" w:cs="Times New Roman"/>
          <w:sz w:val="32"/>
          <w:szCs w:val="32"/>
          <w:lang w:eastAsia="zh-CN"/>
        </w:rPr>
        <w:t>。</w:t>
      </w:r>
    </w:p>
    <w:p>
      <w:pPr>
        <w:keepNext w:val="0"/>
        <w:keepLines w:val="0"/>
        <w:pageBreakBefore w:val="0"/>
        <w:widowControl/>
        <w:numPr>
          <w:ilvl w:val="0"/>
          <w:numId w:val="2"/>
        </w:numPr>
        <w:kinsoku/>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对镇街宗地应确保每七天巡查不少于一次，并做好巡查及处置记录和相关图片影像资料。</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三、关于违约情况的处置</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1.若巡查单位未在巡查、值守范围内发现或有效制止违法倾倒弃土弃渣行为，业主单位发现一次罚款3万元，并由巡查单位清运弃土弃渣，两次及以上业主单位有权解除委托合同，且保证金不予退还。</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2.若巡查单位未按要求配备齐全巡查车辆及人员，业主单位检查发现一次罚款5000元，两次及以上业主单位有权解除委托合同，且保证金不予退还。</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若巡查过程中未对新增种植物及简易建构筑物及时清除，或遇林地破坏、重大违建情况及突出矛盾问题未及时告知业主单位，由业主单位检查发现的情况，一次罚款2000元，三次及以上业主单位有权解除委托合同，且保证金不予退还。</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4.若未按巡查要求做好记录及图片影像资料收集整理的，业主单位检查发现一次罚款1000元，五次及以上业主单位有权解除委托合同，且保证金不予退还。</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四、管护时限及有关费用约定</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1.本方案内所有宗地管护时间暂定一年，但根据土地实际使用情况，管护期内业主单位有权单方面终止或增加单宗土地的管护，终止或增加管护宗地的费用根据实际费用及时间进行结算。</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w:t>
      </w:r>
      <w:r>
        <w:rPr>
          <w:rFonts w:hint="default" w:ascii="Times New Roman" w:hAnsi="Times New Roman" w:eastAsia="方正仿宋_GBK" w:cs="Times New Roman"/>
          <w:b w:val="0"/>
          <w:bCs w:val="0"/>
          <w:color w:val="auto"/>
          <w:sz w:val="32"/>
          <w:szCs w:val="32"/>
          <w:lang w:val="en-US" w:eastAsia="zh-CN"/>
        </w:rPr>
        <w:t>管护费用由业主单位对管护单位履约情况进行对照检查</w:t>
      </w:r>
      <w:r>
        <w:rPr>
          <w:rFonts w:hint="default" w:ascii="Times New Roman" w:hAnsi="Times New Roman" w:eastAsia="方正仿宋_GBK" w:cs="Times New Roman"/>
          <w:sz w:val="32"/>
          <w:szCs w:val="32"/>
          <w:lang w:val="en-US" w:eastAsia="zh-CN"/>
        </w:rPr>
        <w:t>后，每月</w:t>
      </w:r>
      <w:r>
        <w:rPr>
          <w:rFonts w:hint="eastAsia" w:eastAsia="方正仿宋_GBK" w:cs="Times New Roman"/>
          <w:sz w:val="32"/>
          <w:szCs w:val="32"/>
          <w:lang w:val="en-US" w:eastAsia="zh-CN"/>
        </w:rPr>
        <w:t>按照实际管护面积</w:t>
      </w:r>
      <w:r>
        <w:rPr>
          <w:rFonts w:hint="default" w:ascii="Times New Roman" w:hAnsi="Times New Roman" w:eastAsia="方正仿宋_GBK" w:cs="Times New Roman"/>
          <w:sz w:val="32"/>
          <w:szCs w:val="32"/>
          <w:lang w:val="en-US" w:eastAsia="zh-CN"/>
        </w:rPr>
        <w:t>进行支付，如遇上述违约情况，罚款及管护单位承担费用在应支付的管护费用中扣除。</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3.为切实做好土地管护工作，督促管护单位履约到位，管护单位需向业主单位缴纳履约保证金</w:t>
      </w:r>
      <w:r>
        <w:rPr>
          <w:rFonts w:hint="eastAsia" w:eastAsia="方正仿宋_GBK" w:cs="Times New Roman"/>
          <w:sz w:val="32"/>
          <w:szCs w:val="32"/>
          <w:lang w:val="en-US" w:eastAsia="zh-CN"/>
        </w:rPr>
        <w:t>10万元</w:t>
      </w:r>
      <w:r>
        <w:rPr>
          <w:rFonts w:hint="default" w:ascii="Times New Roman" w:hAnsi="Times New Roman" w:eastAsia="方正仿宋_GBK" w:cs="Times New Roman"/>
          <w:sz w:val="32"/>
          <w:szCs w:val="32"/>
        </w:rPr>
        <w:t>，管护期终止且并未出现上述保证金不予退还</w:t>
      </w:r>
      <w:r>
        <w:rPr>
          <w:rFonts w:hint="eastAsia" w:eastAsia="方正仿宋_GBK" w:cs="Times New Roman"/>
          <w:sz w:val="32"/>
          <w:szCs w:val="32"/>
          <w:lang w:eastAsia="zh-CN"/>
        </w:rPr>
        <w:t>或违约扣款等</w:t>
      </w:r>
      <w:r>
        <w:rPr>
          <w:rFonts w:hint="default" w:ascii="Times New Roman" w:hAnsi="Times New Roman" w:eastAsia="方正仿宋_GBK" w:cs="Times New Roman"/>
          <w:sz w:val="32"/>
          <w:szCs w:val="32"/>
        </w:rPr>
        <w:t>情况后，业主单位全额退还。</w:t>
      </w:r>
    </w:p>
    <w:p>
      <w:pPr>
        <w:keepNext w:val="0"/>
        <w:keepLines w:val="0"/>
        <w:pageBreakBefore w:val="0"/>
        <w:widowControl/>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eastAsia" w:ascii="Times New Roman" w:hAnsi="Times New Roman" w:eastAsia="方正仿宋_GBK" w:cs="Times New Roman"/>
          <w:sz w:val="32"/>
          <w:szCs w:val="32"/>
          <w:lang w:eastAsia="zh-CN"/>
        </w:rPr>
      </w:pPr>
      <w:r>
        <w:rPr>
          <w:rFonts w:hint="eastAsia" w:eastAsia="方正仿宋_GBK" w:cs="Times New Roman"/>
          <w:sz w:val="32"/>
          <w:szCs w:val="32"/>
          <w:lang w:eastAsia="zh-CN"/>
        </w:rPr>
        <w:t>附件：管护明细表</w:t>
      </w:r>
    </w:p>
    <w:p>
      <w:pPr>
        <w:keepNext w:val="0"/>
        <w:keepLines w:val="0"/>
        <w:pageBreakBefore w:val="0"/>
        <w:widowControl/>
        <w:kinsoku/>
        <w:wordWrap/>
        <w:overflowPunct/>
        <w:topLinePunct w:val="0"/>
        <w:autoSpaceDE/>
        <w:autoSpaceDN/>
        <w:bidi w:val="0"/>
        <w:adjustRightInd/>
        <w:snapToGrid/>
        <w:spacing w:line="600" w:lineRule="exact"/>
        <w:ind w:right="0" w:rightChars="0" w:firstLine="3200" w:firstLineChars="1000"/>
        <w:jc w:val="both"/>
        <w:textAlignment w:val="auto"/>
        <w:outlineLvl w:val="9"/>
        <w:rPr>
          <w:rFonts w:hint="default" w:ascii="Times New Roman" w:hAnsi="Times New Roman" w:eastAsia="方正仿宋_GBK" w:cs="Times New Roman"/>
          <w:sz w:val="32"/>
          <w:szCs w:val="32"/>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3200" w:firstLineChars="100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重庆市渝兴建设投资有限公司  </w:t>
      </w:r>
    </w:p>
    <w:p>
      <w:pPr>
        <w:keepNext w:val="0"/>
        <w:keepLines w:val="0"/>
        <w:pageBreakBefore w:val="0"/>
        <w:widowControl/>
        <w:kinsoku/>
        <w:overflowPunct/>
        <w:topLinePunct w:val="0"/>
        <w:autoSpaceDE/>
        <w:autoSpaceDN/>
        <w:bidi w:val="0"/>
        <w:adjustRightInd/>
        <w:snapToGrid/>
        <w:spacing w:line="600" w:lineRule="exact"/>
        <w:ind w:left="0" w:leftChars="0" w:right="0" w:rightChars="0" w:firstLine="2886" w:firstLineChars="902"/>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重庆职业技术教育城建设有限公司</w:t>
      </w:r>
    </w:p>
    <w:p>
      <w:pPr>
        <w:rPr>
          <w:rFonts w:hint="default" w:ascii="Times New Roman" w:hAnsi="Times New Roman" w:eastAsia="方正仿宋_GBK" w:cs="Times New Roman"/>
          <w:sz w:val="32"/>
          <w:szCs w:val="32"/>
          <w:lang w:val="en-US" w:eastAsia="zh-CN"/>
        </w:rPr>
      </w:pPr>
    </w:p>
    <w:p>
      <w:pPr>
        <w:rPr>
          <w:rFonts w:hint="default" w:ascii="Times New Roman" w:hAnsi="Times New Roman" w:eastAsia="方正仿宋_GBK" w:cs="Times New Roman"/>
          <w:sz w:val="32"/>
          <w:szCs w:val="32"/>
        </w:rPr>
        <w:sectPr>
          <w:pgSz w:w="11906" w:h="16838"/>
          <w:pgMar w:top="1417" w:right="1531" w:bottom="1134" w:left="1531" w:header="851" w:footer="992" w:gutter="0"/>
          <w:pgBorders>
            <w:top w:val="none" w:sz="0" w:space="0"/>
            <w:left w:val="none" w:sz="0" w:space="0"/>
            <w:bottom w:val="none" w:sz="0" w:space="0"/>
            <w:right w:val="none" w:sz="0" w:space="0"/>
          </w:pgBorders>
          <w:cols w:space="0" w:num="1"/>
          <w:rtlGutter w:val="0"/>
          <w:docGrid w:type="lines" w:linePitch="312" w:charSpace="0"/>
        </w:sectPr>
      </w:pPr>
      <w:r>
        <w:rPr>
          <w:rFonts w:hint="eastAsia" w:eastAsia="方正仿宋_GBK" w:cs="Times New Roman"/>
          <w:sz w:val="32"/>
          <w:szCs w:val="32"/>
          <w:lang w:val="en-US" w:eastAsia="zh-CN"/>
        </w:rPr>
        <w:t xml:space="preserve">                               </w:t>
      </w:r>
      <w:r>
        <w:rPr>
          <w:rFonts w:hint="default" w:ascii="Times New Roman" w:hAnsi="Times New Roman" w:eastAsia="方正仿宋_GBK" w:cs="Times New Roman"/>
          <w:sz w:val="32"/>
          <w:szCs w:val="32"/>
        </w:rPr>
        <w:t>202</w:t>
      </w:r>
      <w:r>
        <w:rPr>
          <w:rFonts w:hint="eastAsia" w:eastAsia="方正仿宋_GBK" w:cs="Times New Roman"/>
          <w:sz w:val="32"/>
          <w:szCs w:val="32"/>
          <w:lang w:val="en-US" w:eastAsia="zh-CN"/>
        </w:rPr>
        <w:t>6</w:t>
      </w:r>
      <w:r>
        <w:rPr>
          <w:rFonts w:hint="default" w:ascii="Times New Roman" w:hAnsi="Times New Roman" w:eastAsia="方正仿宋_GBK" w:cs="Times New Roman"/>
          <w:sz w:val="32"/>
          <w:szCs w:val="32"/>
        </w:rPr>
        <w:t>年</w:t>
      </w:r>
      <w:r>
        <w:rPr>
          <w:rFonts w:hint="eastAsia" w:eastAsia="方正仿宋_GBK" w:cs="Times New Roman"/>
          <w:sz w:val="32"/>
          <w:szCs w:val="32"/>
          <w:lang w:val="en-US" w:eastAsia="zh-CN"/>
        </w:rPr>
        <w:t>5</w:t>
      </w:r>
      <w:r>
        <w:rPr>
          <w:rFonts w:hint="default" w:ascii="Times New Roman" w:hAnsi="Times New Roman" w:eastAsia="方正仿宋_GBK" w:cs="Times New Roman"/>
          <w:sz w:val="32"/>
          <w:szCs w:val="32"/>
        </w:rPr>
        <w:t>月</w:t>
      </w:r>
      <w:r>
        <w:rPr>
          <w:rFonts w:hint="eastAsia" w:eastAsia="方正仿宋_GBK" w:cs="Times New Roman"/>
          <w:sz w:val="32"/>
          <w:szCs w:val="32"/>
          <w:lang w:val="en-US" w:eastAsia="zh-CN"/>
        </w:rPr>
        <w:t>21</w:t>
      </w:r>
      <w:r>
        <w:rPr>
          <w:rFonts w:hint="default" w:ascii="Times New Roman" w:hAnsi="Times New Roman" w:eastAsia="方正仿宋_GBK" w:cs="Times New Roman"/>
          <w:sz w:val="32"/>
          <w:szCs w:val="32"/>
        </w:rPr>
        <w:t>日</w:t>
      </w:r>
    </w:p>
    <w:tbl>
      <w:tblPr>
        <w:tblStyle w:val="3"/>
        <w:tblW w:w="15047" w:type="dxa"/>
        <w:tblInd w:w="0" w:type="dxa"/>
        <w:shd w:val="clear" w:color="auto" w:fill="auto"/>
        <w:tblLayout w:type="fixed"/>
        <w:tblCellMar>
          <w:top w:w="0" w:type="dxa"/>
          <w:left w:w="0" w:type="dxa"/>
          <w:bottom w:w="0" w:type="dxa"/>
          <w:right w:w="0" w:type="dxa"/>
        </w:tblCellMar>
      </w:tblPr>
      <w:tblGrid>
        <w:gridCol w:w="473"/>
        <w:gridCol w:w="1575"/>
        <w:gridCol w:w="1790"/>
        <w:gridCol w:w="1093"/>
        <w:gridCol w:w="2040"/>
        <w:gridCol w:w="1559"/>
        <w:gridCol w:w="1591"/>
        <w:gridCol w:w="1160"/>
        <w:gridCol w:w="1707"/>
        <w:gridCol w:w="1043"/>
        <w:gridCol w:w="1016"/>
      </w:tblGrid>
      <w:tr>
        <w:tblPrEx>
          <w:tblCellMar>
            <w:top w:w="0" w:type="dxa"/>
            <w:left w:w="0" w:type="dxa"/>
            <w:bottom w:w="0" w:type="dxa"/>
            <w:right w:w="0" w:type="dxa"/>
          </w:tblCellMar>
        </w:tblPrEx>
        <w:trPr>
          <w:trHeight w:val="540" w:hRule="atLeast"/>
        </w:trPr>
        <w:tc>
          <w:tcPr>
            <w:tcW w:w="15047" w:type="dxa"/>
            <w:gridSpan w:val="11"/>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仿宋_GBK" w:hAnsi="方正仿宋_GBK" w:eastAsia="方正仿宋_GBK" w:cs="方正仿宋_GBK"/>
                <w:i w:val="0"/>
                <w:color w:val="000000"/>
                <w:sz w:val="40"/>
                <w:szCs w:val="40"/>
                <w:u w:val="none"/>
              </w:rPr>
            </w:pPr>
            <w:r>
              <w:rPr>
                <w:rFonts w:hint="eastAsia" w:ascii="方正仿宋_GBK" w:hAnsi="方正仿宋_GBK" w:eastAsia="方正仿宋_GBK" w:cs="方正仿宋_GBK"/>
                <w:i w:val="0"/>
                <w:color w:val="000000"/>
                <w:kern w:val="0"/>
                <w:sz w:val="40"/>
                <w:szCs w:val="40"/>
                <w:u w:val="none"/>
                <w:lang w:val="en-US" w:eastAsia="zh-CN" w:bidi="ar"/>
              </w:rPr>
              <w:t>渝兴公司未利用土地管护明细表</w:t>
            </w:r>
            <w:r>
              <w:rPr>
                <w:rFonts w:hint="eastAsia" w:ascii="方正仿宋_GBK" w:hAnsi="方正仿宋_GBK" w:eastAsia="方正仿宋_GBK" w:cs="方正仿宋_GBK"/>
                <w:i w:val="0"/>
                <w:color w:val="000000"/>
                <w:kern w:val="0"/>
                <w:sz w:val="28"/>
                <w:szCs w:val="28"/>
                <w:u w:val="none"/>
                <w:lang w:val="en-US" w:eastAsia="zh-CN" w:bidi="ar"/>
              </w:rPr>
              <w:t>（截止日期2026年5月）</w:t>
            </w:r>
          </w:p>
        </w:tc>
      </w:tr>
      <w:tr>
        <w:tblPrEx>
          <w:tblCellMar>
            <w:top w:w="0" w:type="dxa"/>
            <w:left w:w="0" w:type="dxa"/>
            <w:bottom w:w="0" w:type="dxa"/>
            <w:right w:w="0" w:type="dxa"/>
          </w:tblCellMar>
        </w:tblPrEx>
        <w:trPr>
          <w:trHeight w:val="570" w:hRule="atLeast"/>
        </w:trPr>
        <w:tc>
          <w:tcPr>
            <w:tcW w:w="15047"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44"/>
                <w:szCs w:val="44"/>
                <w:u w:val="none"/>
              </w:rPr>
            </w:pPr>
            <w:r>
              <w:rPr>
                <w:rFonts w:hint="eastAsia" w:ascii="方正仿宋_GBK" w:hAnsi="方正仿宋_GBK" w:eastAsia="方正仿宋_GBK" w:cs="方正仿宋_GBK"/>
                <w:i w:val="0"/>
                <w:color w:val="000000"/>
                <w:kern w:val="0"/>
                <w:sz w:val="44"/>
                <w:szCs w:val="44"/>
                <w:u w:val="none"/>
                <w:lang w:val="en-US" w:eastAsia="zh-CN" w:bidi="ar"/>
              </w:rPr>
              <w:t>无证部分（渝兴公司）</w:t>
            </w:r>
          </w:p>
        </w:tc>
      </w:tr>
      <w:tr>
        <w:tblPrEx>
          <w:shd w:val="clear" w:color="auto" w:fill="auto"/>
          <w:tblCellMar>
            <w:top w:w="0" w:type="dxa"/>
            <w:left w:w="0" w:type="dxa"/>
            <w:bottom w:w="0" w:type="dxa"/>
            <w:right w:w="0" w:type="dxa"/>
          </w:tblCellMar>
        </w:tblPrEx>
        <w:trPr>
          <w:trHeight w:val="570" w:hRule="atLeast"/>
        </w:trPr>
        <w:tc>
          <w:tcPr>
            <w:tcW w:w="4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序号</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地块名称</w:t>
            </w:r>
          </w:p>
        </w:tc>
        <w:tc>
          <w:tcPr>
            <w:tcW w:w="17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位置</w:t>
            </w:r>
          </w:p>
        </w:tc>
        <w:tc>
          <w:tcPr>
            <w:tcW w:w="109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面积</w:t>
            </w:r>
            <w:r>
              <w:rPr>
                <w:rFonts w:hint="eastAsia" w:ascii="方正仿宋_GBK" w:hAnsi="方正仿宋_GBK" w:eastAsia="方正仿宋_GBK" w:cs="方正仿宋_GBK"/>
                <w:i w:val="0"/>
                <w:color w:val="000000"/>
                <w:kern w:val="0"/>
                <w:sz w:val="22"/>
                <w:szCs w:val="22"/>
                <w:u w:val="none"/>
                <w:lang w:val="en-US" w:eastAsia="zh-CN" w:bidi="ar"/>
              </w:rPr>
              <w:br w:type="textWrapping"/>
            </w:r>
            <w:r>
              <w:rPr>
                <w:rFonts w:hint="eastAsia" w:ascii="方正仿宋_GBK" w:hAnsi="方正仿宋_GBK" w:eastAsia="方正仿宋_GBK" w:cs="方正仿宋_GBK"/>
                <w:i w:val="0"/>
                <w:color w:val="000000"/>
                <w:kern w:val="0"/>
                <w:sz w:val="22"/>
                <w:szCs w:val="22"/>
                <w:u w:val="none"/>
                <w:lang w:val="en-US" w:eastAsia="zh-CN" w:bidi="ar"/>
              </w:rPr>
              <w:t>（亩）</w:t>
            </w:r>
          </w:p>
        </w:tc>
        <w:tc>
          <w:tcPr>
            <w:tcW w:w="20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规划编号（证号）</w:t>
            </w:r>
          </w:p>
        </w:tc>
        <w:tc>
          <w:tcPr>
            <w:tcW w:w="155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现状</w:t>
            </w:r>
          </w:p>
        </w:tc>
        <w:tc>
          <w:tcPr>
            <w:tcW w:w="275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规划情况</w:t>
            </w:r>
          </w:p>
        </w:tc>
        <w:tc>
          <w:tcPr>
            <w:tcW w:w="2750"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管护</w:t>
            </w:r>
          </w:p>
        </w:tc>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备注</w:t>
            </w:r>
          </w:p>
        </w:tc>
      </w:tr>
      <w:tr>
        <w:tblPrEx>
          <w:shd w:val="clear" w:color="auto" w:fill="auto"/>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2"/>
                <w:szCs w:val="22"/>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2"/>
                <w:szCs w:val="22"/>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2"/>
                <w:szCs w:val="22"/>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2"/>
                <w:szCs w:val="22"/>
                <w:u w:val="none"/>
              </w:rPr>
            </w:pPr>
          </w:p>
        </w:tc>
        <w:tc>
          <w:tcPr>
            <w:tcW w:w="2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2"/>
                <w:szCs w:val="22"/>
                <w:u w:val="none"/>
              </w:rPr>
            </w:pPr>
          </w:p>
        </w:tc>
        <w:tc>
          <w:tcPr>
            <w:tcW w:w="15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2"/>
                <w:szCs w:val="22"/>
                <w:u w:val="none"/>
              </w:rPr>
            </w:pP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规划用途</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面积</w:t>
            </w:r>
            <w:r>
              <w:rPr>
                <w:rFonts w:hint="eastAsia" w:ascii="方正仿宋_GBK" w:hAnsi="方正仿宋_GBK" w:eastAsia="方正仿宋_GBK" w:cs="方正仿宋_GBK"/>
                <w:i w:val="0"/>
                <w:color w:val="000000"/>
                <w:kern w:val="0"/>
                <w:sz w:val="22"/>
                <w:szCs w:val="22"/>
                <w:u w:val="none"/>
                <w:lang w:val="en-US" w:eastAsia="zh-CN" w:bidi="ar"/>
              </w:rPr>
              <w:br w:type="textWrapping"/>
            </w:r>
            <w:r>
              <w:rPr>
                <w:rFonts w:hint="eastAsia" w:ascii="方正仿宋_GBK" w:hAnsi="方正仿宋_GBK" w:eastAsia="方正仿宋_GBK" w:cs="方正仿宋_GBK"/>
                <w:i w:val="0"/>
                <w:color w:val="000000"/>
                <w:kern w:val="0"/>
                <w:sz w:val="22"/>
                <w:szCs w:val="22"/>
                <w:u w:val="none"/>
                <w:lang w:val="en-US" w:eastAsia="zh-CN" w:bidi="ar"/>
              </w:rPr>
              <w:t>（㎡）</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管护分类</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管护面积（亩）</w:t>
            </w:r>
          </w:p>
        </w:tc>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2"/>
                <w:szCs w:val="22"/>
                <w:u w:val="none"/>
              </w:rPr>
            </w:pPr>
          </w:p>
        </w:tc>
      </w:tr>
      <w:tr>
        <w:tblPrEx>
          <w:tblCellMar>
            <w:top w:w="0" w:type="dxa"/>
            <w:left w:w="0" w:type="dxa"/>
            <w:bottom w:w="0" w:type="dxa"/>
            <w:right w:w="0" w:type="dxa"/>
          </w:tblCellMar>
        </w:tblPrEx>
        <w:trPr>
          <w:trHeight w:val="570" w:hRule="atLeast"/>
        </w:trPr>
        <w:tc>
          <w:tcPr>
            <w:tcW w:w="4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星澜汇小学至单行道之间〔2004〕300号批文剩地</w:t>
            </w:r>
          </w:p>
        </w:tc>
        <w:tc>
          <w:tcPr>
            <w:tcW w:w="179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龙洲湾街道解放村</w:t>
            </w:r>
          </w:p>
        </w:tc>
        <w:tc>
          <w:tcPr>
            <w:tcW w:w="109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106.28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M35-2-1/03</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空地、菜地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商住用地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13372</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20.06</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不含未拆迁房屋范围</w:t>
            </w:r>
          </w:p>
        </w:tc>
      </w:tr>
      <w:tr>
        <w:tblPrEx>
          <w:shd w:val="clear" w:color="auto" w:fill="auto"/>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M35-2-2/03</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空地、菜地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防护绿地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24057</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36.09</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M36-2/03</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空地、菜地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防护绿地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10534</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15.80</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规划道路</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空地、菜地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道路用地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13873</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20.81</w:t>
            </w:r>
          </w:p>
        </w:tc>
        <w:tc>
          <w:tcPr>
            <w:tcW w:w="1016"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S2-1/02</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居住用地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2733</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4.10</w:t>
            </w:r>
          </w:p>
        </w:tc>
        <w:tc>
          <w:tcPr>
            <w:tcW w:w="101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S3-3/03</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教育用地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848</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1.27</w:t>
            </w:r>
          </w:p>
        </w:tc>
        <w:tc>
          <w:tcPr>
            <w:tcW w:w="101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消防队东侧</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空地、菜地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防护绿地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5438</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8.16</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渝南大道起点高边坡处（702项目剩余土地）</w:t>
            </w:r>
          </w:p>
        </w:tc>
        <w:tc>
          <w:tcPr>
            <w:tcW w:w="17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龙洲湾街道解放村</w:t>
            </w:r>
          </w:p>
        </w:tc>
        <w:tc>
          <w:tcPr>
            <w:tcW w:w="109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19.09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M37-1-2/04</w:t>
            </w:r>
          </w:p>
        </w:tc>
        <w:tc>
          <w:tcPr>
            <w:tcW w:w="155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高边坡、菜地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防护绿地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829</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1.24</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M37-4-1/04</w:t>
            </w:r>
          </w:p>
        </w:tc>
        <w:tc>
          <w:tcPr>
            <w:tcW w:w="15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商业用地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6993</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10.49</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M37-3/02</w:t>
            </w:r>
          </w:p>
        </w:tc>
        <w:tc>
          <w:tcPr>
            <w:tcW w:w="15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防护绿地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2792</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4.19</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M37-7/02</w:t>
            </w:r>
          </w:p>
        </w:tc>
        <w:tc>
          <w:tcPr>
            <w:tcW w:w="15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居住用地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2113</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3.17</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3</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烈士墓对面（二纵路三支路周边）</w:t>
            </w:r>
          </w:p>
        </w:tc>
        <w:tc>
          <w:tcPr>
            <w:tcW w:w="17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龙洲湾街道独龙桥村</w:t>
            </w:r>
          </w:p>
        </w:tc>
        <w:tc>
          <w:tcPr>
            <w:tcW w:w="109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24.59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Q25-4/01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文化设施用地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6554</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9.83</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Q25-8-2/01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通信用地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4428</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6.64</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Q25-5/01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市政设施用地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1684</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2.53</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4</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龙湖地块旁（公平老路处）</w:t>
            </w:r>
          </w:p>
        </w:tc>
        <w:tc>
          <w:tcPr>
            <w:tcW w:w="17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龙洲湾街道独龙桥村</w:t>
            </w:r>
          </w:p>
        </w:tc>
        <w:tc>
          <w:tcPr>
            <w:tcW w:w="109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9.51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Q30-4/01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菜地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防护绿地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4655</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6.98</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Q30-5/01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板房、菜地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社会福利用地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8515</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12.77</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5</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枢纽站南段南侧与洺悦城一期东侧</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龙洲湾街道独龙桥村</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22.50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Q25-2/01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行政办公用地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15030</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22.54</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6</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龙湖嘉天下售楼部北侧</w:t>
            </w:r>
          </w:p>
        </w:tc>
        <w:tc>
          <w:tcPr>
            <w:tcW w:w="17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龙洲湾街道独龙桥村</w:t>
            </w:r>
          </w:p>
        </w:tc>
        <w:tc>
          <w:tcPr>
            <w:tcW w:w="109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38.16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Q23-1/01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 简易绿化、空地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居住用地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13790</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20.68</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Q23-4/01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简易绿化</w:t>
            </w:r>
          </w:p>
        </w:tc>
        <w:tc>
          <w:tcPr>
            <w:tcW w:w="15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电力设施用地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1312</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1.97</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Q23-5/01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简易绿化</w:t>
            </w:r>
          </w:p>
        </w:tc>
        <w:tc>
          <w:tcPr>
            <w:tcW w:w="15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6565</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9.85</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Q23-6/01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简易绿化</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公园绿地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3776</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5.66</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7</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鱼洞加油站周边</w:t>
            </w:r>
          </w:p>
        </w:tc>
        <w:tc>
          <w:tcPr>
            <w:tcW w:w="179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龙洲湾街道独龙桥村</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3.21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Q20-9/01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绿化用地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2143</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3.21</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8</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海洋公园周边</w:t>
            </w:r>
          </w:p>
        </w:tc>
        <w:tc>
          <w:tcPr>
            <w:tcW w:w="179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龙洲湾街道道角村</w:t>
            </w:r>
          </w:p>
        </w:tc>
        <w:tc>
          <w:tcPr>
            <w:tcW w:w="1093"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115.37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Q15-1/01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广场用地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68208</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88.81</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Q17-3/02</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市政设施用地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5510</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8.26</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9</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相思桥安置房南侧13亩</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龙洲湾街道道角村</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13.44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Q02-2-2/03</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简易绿化</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文化设施用地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8960</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13.44</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10</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巴文化公园与巴南小学之间</w:t>
            </w:r>
          </w:p>
        </w:tc>
        <w:tc>
          <w:tcPr>
            <w:tcW w:w="17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龙洲湾街道</w:t>
            </w:r>
          </w:p>
        </w:tc>
        <w:tc>
          <w:tcPr>
            <w:tcW w:w="109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67.13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M16-8/03</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文化设施用地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24707</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37.06</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M16-1/03</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社会停车场用地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13263</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19.89</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M16-2/02</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公交站场用地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6782</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10.17</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11</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东风4S店南侧</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龙洲湾街道道角村</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7.60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M17-3/03</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社会停车场用地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5066</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7.60</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12</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金色田园对面</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花溪街道建新村</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10.61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M9-2/02</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防护绿地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7076</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10.61</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13</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文新路（佳兆业旁）</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龙洲湾街道道角村</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7.91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规划道路</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道路用地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5280</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7.92</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14</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文新路（新成佳苑旁）</w:t>
            </w:r>
          </w:p>
        </w:tc>
        <w:tc>
          <w:tcPr>
            <w:tcW w:w="17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花溪街道建新村</w:t>
            </w:r>
          </w:p>
        </w:tc>
        <w:tc>
          <w:tcPr>
            <w:tcW w:w="109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14.18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规划道路</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菜地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道路用地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4914</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7.37</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滨江星城南侧</w:t>
            </w: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K14-7-2</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绿化用地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1536</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2.30</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文新路（佳兆业旁）</w:t>
            </w: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规划道路</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空地、菜地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道路用地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3003</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4.50</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15</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教委后面闲置地</w:t>
            </w:r>
          </w:p>
        </w:tc>
        <w:tc>
          <w:tcPr>
            <w:tcW w:w="17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龙洲湾街道道角村</w:t>
            </w:r>
          </w:p>
        </w:tc>
        <w:tc>
          <w:tcPr>
            <w:tcW w:w="109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67.35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M13-2/01</w:t>
            </w:r>
          </w:p>
        </w:tc>
        <w:tc>
          <w:tcPr>
            <w:tcW w:w="155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空地、简易绿化</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绿化用地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7939</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11.91</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M13-1/01</w:t>
            </w:r>
          </w:p>
        </w:tc>
        <w:tc>
          <w:tcPr>
            <w:tcW w:w="15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教育用地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15456</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23.18</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M13-3/01</w:t>
            </w:r>
          </w:p>
        </w:tc>
        <w:tc>
          <w:tcPr>
            <w:tcW w:w="15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教育用地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4000</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6.00</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规划道路</w:t>
            </w:r>
          </w:p>
        </w:tc>
        <w:tc>
          <w:tcPr>
            <w:tcW w:w="15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道路用地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13407</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20.11</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M7-3/01</w:t>
            </w:r>
          </w:p>
        </w:tc>
        <w:tc>
          <w:tcPr>
            <w:tcW w:w="15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商住用地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447</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0.67</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M12-1/02</w:t>
            </w:r>
          </w:p>
        </w:tc>
        <w:tc>
          <w:tcPr>
            <w:tcW w:w="15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商住用地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1461</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2.19</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M12-2/01</w:t>
            </w:r>
          </w:p>
        </w:tc>
        <w:tc>
          <w:tcPr>
            <w:tcW w:w="15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绿化用地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2187</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3.28</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16</w:t>
            </w:r>
          </w:p>
        </w:tc>
        <w:tc>
          <w:tcPr>
            <w:tcW w:w="157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金源御府和政府3号楼后绿化地块</w:t>
            </w:r>
          </w:p>
        </w:tc>
        <w:tc>
          <w:tcPr>
            <w:tcW w:w="179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龙洲湾街道道角村</w:t>
            </w:r>
          </w:p>
        </w:tc>
        <w:tc>
          <w:tcPr>
            <w:tcW w:w="109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3.61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M19-5/02</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绿化</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绿化用地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2404</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3.61</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17</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面粉厂</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龙洲湾街道独龙桥村</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11.66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M30-1-1/02</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简易绿化</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商住用地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7775</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11.66</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18</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炒油场南泉方向入口处</w:t>
            </w:r>
          </w:p>
        </w:tc>
        <w:tc>
          <w:tcPr>
            <w:tcW w:w="17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花溪街道民主村</w:t>
            </w:r>
          </w:p>
        </w:tc>
        <w:tc>
          <w:tcPr>
            <w:tcW w:w="109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51.74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D2-9-2/04</w:t>
            </w:r>
          </w:p>
        </w:tc>
        <w:tc>
          <w:tcPr>
            <w:tcW w:w="155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绿化用地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8390</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12.58</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移交新燕尾山隧道施工</w:t>
            </w: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D3-10-1/04</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菜地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绿化用地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7201</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10.80</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D3-10-2/04</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菜地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防护绿地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1186</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1.78</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D3-10-4/04</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菜地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绿化用地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17717</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26.58</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19</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祥和西侧地块</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花溪街道民主</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5.88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K13-6-2</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居住用地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3920</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5.88</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20</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鱼洞长江大桥南桥头</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莲花街道</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15.49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绿化用地、道路用地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10326</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7.99</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扣除停车场用地7.5亩</w:t>
            </w: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21</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润丰地块</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莲花街道</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60.00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转件厂拆迁区</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居住用地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40000</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60.00</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22</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王家坝二横路地块</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花溪街道</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12.52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规划道路（烂尾）</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归划道路</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8346</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12.52</w:t>
            </w:r>
          </w:p>
        </w:tc>
        <w:tc>
          <w:tcPr>
            <w:tcW w:w="101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23</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K11地块</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花溪街道</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51.18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规划道路（烂尾）</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归划道路</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34120</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51.18</w:t>
            </w:r>
          </w:p>
        </w:tc>
        <w:tc>
          <w:tcPr>
            <w:tcW w:w="101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24</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保利碧桂园东南侧</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龙洲湾街道独龙桥村</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21.00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简易绿化</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绿化用地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14000</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21.00</w:t>
            </w:r>
          </w:p>
        </w:tc>
        <w:tc>
          <w:tcPr>
            <w:tcW w:w="101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25</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S106消防队旁</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莲花街道天明村</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4.50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S06道路边坡用地</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道路用地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3000</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4.50</w:t>
            </w:r>
          </w:p>
        </w:tc>
        <w:tc>
          <w:tcPr>
            <w:tcW w:w="101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38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小计</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739.01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509621</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743.43</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15047" w:type="dxa"/>
            <w:gridSpan w:val="11"/>
            <w:tcBorders>
              <w:top w:val="nil"/>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44"/>
                <w:szCs w:val="44"/>
                <w:u w:val="none"/>
              </w:rPr>
            </w:pPr>
            <w:r>
              <w:rPr>
                <w:rFonts w:hint="eastAsia" w:ascii="方正仿宋_GBK" w:hAnsi="方正仿宋_GBK" w:eastAsia="方正仿宋_GBK" w:cs="方正仿宋_GBK"/>
                <w:b/>
                <w:i w:val="0"/>
                <w:color w:val="000000"/>
                <w:kern w:val="0"/>
                <w:sz w:val="44"/>
                <w:szCs w:val="44"/>
                <w:u w:val="none"/>
                <w:lang w:val="en-US" w:eastAsia="zh-CN" w:bidi="ar"/>
              </w:rPr>
              <w:t>有证部分</w:t>
            </w:r>
          </w:p>
        </w:tc>
      </w:tr>
      <w:tr>
        <w:tblPrEx>
          <w:tblCellMar>
            <w:top w:w="0" w:type="dxa"/>
            <w:left w:w="0" w:type="dxa"/>
            <w:bottom w:w="0" w:type="dxa"/>
            <w:right w:w="0" w:type="dxa"/>
          </w:tblCellMar>
        </w:tblPrEx>
        <w:trPr>
          <w:trHeight w:val="570" w:hRule="atLeast"/>
        </w:trPr>
        <w:tc>
          <w:tcPr>
            <w:tcW w:w="4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序号</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地块名称</w:t>
            </w:r>
          </w:p>
        </w:tc>
        <w:tc>
          <w:tcPr>
            <w:tcW w:w="17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位置</w:t>
            </w:r>
          </w:p>
        </w:tc>
        <w:tc>
          <w:tcPr>
            <w:tcW w:w="109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面积</w:t>
            </w:r>
            <w:r>
              <w:rPr>
                <w:rFonts w:hint="eastAsia" w:ascii="方正仿宋_GBK" w:hAnsi="方正仿宋_GBK" w:eastAsia="方正仿宋_GBK" w:cs="方正仿宋_GBK"/>
                <w:i w:val="0"/>
                <w:color w:val="000000"/>
                <w:kern w:val="0"/>
                <w:sz w:val="20"/>
                <w:szCs w:val="20"/>
                <w:u w:val="none"/>
                <w:lang w:val="en-US" w:eastAsia="zh-CN" w:bidi="ar"/>
              </w:rPr>
              <w:br w:type="textWrapping"/>
            </w:r>
            <w:r>
              <w:rPr>
                <w:rFonts w:hint="eastAsia" w:ascii="方正仿宋_GBK" w:hAnsi="方正仿宋_GBK" w:eastAsia="方正仿宋_GBK" w:cs="方正仿宋_GBK"/>
                <w:i w:val="0"/>
                <w:color w:val="000000"/>
                <w:kern w:val="0"/>
                <w:sz w:val="20"/>
                <w:szCs w:val="20"/>
                <w:u w:val="none"/>
                <w:lang w:val="en-US" w:eastAsia="zh-CN" w:bidi="ar"/>
              </w:rPr>
              <w:t>（亩）</w:t>
            </w:r>
          </w:p>
        </w:tc>
        <w:tc>
          <w:tcPr>
            <w:tcW w:w="20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规划编号（证号）</w:t>
            </w:r>
          </w:p>
        </w:tc>
        <w:tc>
          <w:tcPr>
            <w:tcW w:w="155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现状</w:t>
            </w:r>
          </w:p>
        </w:tc>
        <w:tc>
          <w:tcPr>
            <w:tcW w:w="275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规划情况</w:t>
            </w:r>
          </w:p>
        </w:tc>
        <w:tc>
          <w:tcPr>
            <w:tcW w:w="2750"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管护</w:t>
            </w:r>
          </w:p>
        </w:tc>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备注</w:t>
            </w: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2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规划用途</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面积</w:t>
            </w:r>
            <w:r>
              <w:rPr>
                <w:rFonts w:hint="eastAsia" w:ascii="方正仿宋_GBK" w:hAnsi="方正仿宋_GBK" w:eastAsia="方正仿宋_GBK" w:cs="方正仿宋_GBK"/>
                <w:i w:val="0"/>
                <w:color w:val="000000"/>
                <w:kern w:val="0"/>
                <w:sz w:val="20"/>
                <w:szCs w:val="20"/>
                <w:u w:val="none"/>
                <w:lang w:val="en-US" w:eastAsia="zh-CN" w:bidi="ar"/>
              </w:rPr>
              <w:br w:type="textWrapping"/>
            </w:r>
            <w:r>
              <w:rPr>
                <w:rFonts w:hint="eastAsia" w:ascii="方正仿宋_GBK" w:hAnsi="方正仿宋_GBK" w:eastAsia="方正仿宋_GBK" w:cs="方正仿宋_GBK"/>
                <w:i w:val="0"/>
                <w:color w:val="000000"/>
                <w:kern w:val="0"/>
                <w:sz w:val="20"/>
                <w:szCs w:val="20"/>
                <w:u w:val="none"/>
                <w:lang w:val="en-US" w:eastAsia="zh-CN" w:bidi="ar"/>
              </w:rPr>
              <w:t>（㎡）</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管护分类</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管护面积（亩）</w:t>
            </w:r>
          </w:p>
        </w:tc>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江滨路香林华府小区背后（原绢纺厂大门正对地块）</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巴南区鱼洞长江大桥南桥头</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12.16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kern w:val="0"/>
                <w:sz w:val="20"/>
                <w:szCs w:val="20"/>
                <w:u w:val="none"/>
                <w:lang w:val="en-US" w:eastAsia="zh-CN" w:bidi="ar"/>
              </w:rPr>
              <w:fldChar w:fldCharType="begin"/>
            </w:r>
            <w:r>
              <w:rPr>
                <w:rFonts w:hint="eastAsia" w:ascii="方正仿宋_GBK" w:hAnsi="方正仿宋_GBK" w:eastAsia="方正仿宋_GBK" w:cs="方正仿宋_GBK"/>
                <w:i w:val="0"/>
                <w:kern w:val="0"/>
                <w:sz w:val="20"/>
                <w:szCs w:val="20"/>
                <w:u w:val="none"/>
                <w:lang w:val="en-US" w:eastAsia="zh-CN" w:bidi="ar"/>
              </w:rPr>
              <w:instrText xml:space="preserve"> HYPERLINK "储备地权证复印件/202D房地证2011字第00656号.doc" </w:instrText>
            </w:r>
            <w:r>
              <w:rPr>
                <w:rFonts w:hint="eastAsia" w:ascii="方正仿宋_GBK" w:hAnsi="方正仿宋_GBK" w:eastAsia="方正仿宋_GBK" w:cs="方正仿宋_GBK"/>
                <w:i w:val="0"/>
                <w:kern w:val="0"/>
                <w:sz w:val="20"/>
                <w:szCs w:val="20"/>
                <w:u w:val="none"/>
                <w:lang w:val="en-US" w:eastAsia="zh-CN" w:bidi="ar"/>
              </w:rPr>
              <w:fldChar w:fldCharType="separate"/>
            </w:r>
            <w:r>
              <w:rPr>
                <w:rStyle w:val="5"/>
                <w:rFonts w:hint="eastAsia" w:ascii="方正仿宋_GBK" w:hAnsi="方正仿宋_GBK" w:eastAsia="方正仿宋_GBK" w:cs="方正仿宋_GBK"/>
                <w:i w:val="0"/>
                <w:sz w:val="20"/>
                <w:szCs w:val="20"/>
                <w:u w:val="none"/>
              </w:rPr>
              <w:t>202D房地证2011字第00656号</w:t>
            </w:r>
            <w:r>
              <w:rPr>
                <w:rFonts w:hint="eastAsia" w:ascii="方正仿宋_GBK" w:hAnsi="方正仿宋_GBK" w:eastAsia="方正仿宋_GBK" w:cs="方正仿宋_GBK"/>
                <w:i w:val="0"/>
                <w:kern w:val="0"/>
                <w:sz w:val="20"/>
                <w:szCs w:val="20"/>
                <w:u w:val="none"/>
                <w:lang w:val="en-US" w:eastAsia="zh-CN" w:bidi="ar"/>
              </w:rPr>
              <w:fldChar w:fldCharType="end"/>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已由城管局栽树</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绿化用地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8104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12.16</w:t>
            </w:r>
          </w:p>
        </w:tc>
        <w:tc>
          <w:tcPr>
            <w:tcW w:w="101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储备地</w:t>
            </w: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长安铃木安置房一期背后，和熙佳苑安置房侧门正对农田</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巴南区鱼洞街道秦家院</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8.38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202D房地证2010字第00863号</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简易绿化</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国有存量土地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5587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8.38</w:t>
            </w:r>
          </w:p>
        </w:tc>
        <w:tc>
          <w:tcPr>
            <w:tcW w:w="101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44"/>
                <w:szCs w:val="44"/>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3</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长安铃木安置房一期背后，和熙佳苑安置房侧门正对农田</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巴南区鱼洞镇天明村</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21.60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202D房地证2015字第00430号</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简易绿化</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工矿、住宅用地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14399.4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21.60</w:t>
            </w:r>
          </w:p>
        </w:tc>
        <w:tc>
          <w:tcPr>
            <w:tcW w:w="101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44"/>
                <w:szCs w:val="44"/>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4</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长安铃木安置房一期背后，和熙佳苑安置房侧门正对农田</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巴南区鱼洞镇天明村</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4.33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202D房地证2015字第00445号</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居民耕种</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工矿、住宅用地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2887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4.33</w:t>
            </w:r>
          </w:p>
        </w:tc>
        <w:tc>
          <w:tcPr>
            <w:tcW w:w="101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44"/>
                <w:szCs w:val="44"/>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5</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长安铃木安置房一期背后，和熙佳苑安置房侧门正对农田</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巴南区鱼洞新华村</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0.72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202D房地证2015字第00450号</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居民耕种</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综合用地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480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0.72</w:t>
            </w:r>
          </w:p>
        </w:tc>
        <w:tc>
          <w:tcPr>
            <w:tcW w:w="101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44"/>
                <w:szCs w:val="44"/>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6</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长安铃木安置房二期用地旁</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巴南区鱼洞新华村</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1.29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202D房地证2015字第00451号</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已绿化</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国有存量土地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857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1.29</w:t>
            </w:r>
          </w:p>
        </w:tc>
        <w:tc>
          <w:tcPr>
            <w:tcW w:w="101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44"/>
                <w:szCs w:val="44"/>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7</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鱼洞轻轨终点站前行500米，云篆山入口周边</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巴南区鱼洞街道新华村</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15.79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kern w:val="0"/>
                <w:sz w:val="20"/>
                <w:szCs w:val="20"/>
                <w:u w:val="none"/>
                <w:lang w:val="en-US" w:eastAsia="zh-CN" w:bidi="ar"/>
              </w:rPr>
              <w:fldChar w:fldCharType="begin"/>
            </w:r>
            <w:r>
              <w:rPr>
                <w:rFonts w:hint="eastAsia" w:ascii="方正仿宋_GBK" w:hAnsi="方正仿宋_GBK" w:eastAsia="方正仿宋_GBK" w:cs="方正仿宋_GBK"/>
                <w:i w:val="0"/>
                <w:kern w:val="0"/>
                <w:sz w:val="20"/>
                <w:szCs w:val="20"/>
                <w:u w:val="none"/>
                <w:lang w:val="en-US" w:eastAsia="zh-CN" w:bidi="ar"/>
              </w:rPr>
              <w:instrText xml:space="preserve"> HYPERLINK "存量土地/202D房地证2012字第02475号.pdf" </w:instrText>
            </w:r>
            <w:r>
              <w:rPr>
                <w:rFonts w:hint="eastAsia" w:ascii="方正仿宋_GBK" w:hAnsi="方正仿宋_GBK" w:eastAsia="方正仿宋_GBK" w:cs="方正仿宋_GBK"/>
                <w:i w:val="0"/>
                <w:kern w:val="0"/>
                <w:sz w:val="20"/>
                <w:szCs w:val="20"/>
                <w:u w:val="none"/>
                <w:lang w:val="en-US" w:eastAsia="zh-CN" w:bidi="ar"/>
              </w:rPr>
              <w:fldChar w:fldCharType="separate"/>
            </w:r>
            <w:r>
              <w:rPr>
                <w:rStyle w:val="5"/>
                <w:rFonts w:hint="eastAsia" w:ascii="方正仿宋_GBK" w:hAnsi="方正仿宋_GBK" w:eastAsia="方正仿宋_GBK" w:cs="方正仿宋_GBK"/>
                <w:i w:val="0"/>
                <w:sz w:val="20"/>
                <w:szCs w:val="20"/>
                <w:u w:val="none"/>
              </w:rPr>
              <w:t>202D房地证2012字第02475号</w:t>
            </w:r>
            <w:r>
              <w:rPr>
                <w:rFonts w:hint="eastAsia" w:ascii="方正仿宋_GBK" w:hAnsi="方正仿宋_GBK" w:eastAsia="方正仿宋_GBK" w:cs="方正仿宋_GBK"/>
                <w:i w:val="0"/>
                <w:kern w:val="0"/>
                <w:sz w:val="20"/>
                <w:szCs w:val="20"/>
                <w:u w:val="none"/>
                <w:lang w:val="en-US" w:eastAsia="zh-CN" w:bidi="ar"/>
              </w:rPr>
              <w:fldChar w:fldCharType="end"/>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刘银租用</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良种果苗用地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10530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15.79</w:t>
            </w:r>
          </w:p>
        </w:tc>
        <w:tc>
          <w:tcPr>
            <w:tcW w:w="101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44"/>
                <w:szCs w:val="44"/>
                <w:u w:val="none"/>
              </w:rPr>
            </w:pPr>
          </w:p>
        </w:tc>
      </w:tr>
      <w:tr>
        <w:tblPrEx>
          <w:shd w:val="clear" w:color="auto" w:fill="auto"/>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8</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鱼洞轻轨终点站前行500米，云篆山入口周边</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巴南区鱼洞街道新华村</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15.89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kern w:val="0"/>
                <w:sz w:val="20"/>
                <w:szCs w:val="20"/>
                <w:u w:val="none"/>
                <w:lang w:val="en-US" w:eastAsia="zh-CN" w:bidi="ar"/>
              </w:rPr>
              <w:fldChar w:fldCharType="begin"/>
            </w:r>
            <w:r>
              <w:rPr>
                <w:rFonts w:hint="eastAsia" w:ascii="方正仿宋_GBK" w:hAnsi="方正仿宋_GBK" w:eastAsia="方正仿宋_GBK" w:cs="方正仿宋_GBK"/>
                <w:i w:val="0"/>
                <w:kern w:val="0"/>
                <w:sz w:val="20"/>
                <w:szCs w:val="20"/>
                <w:u w:val="none"/>
                <w:lang w:val="en-US" w:eastAsia="zh-CN" w:bidi="ar"/>
              </w:rPr>
              <w:instrText xml:space="preserve"> HYPERLINK "存量土地\\202D房地证2012字第02476号.pdf" </w:instrText>
            </w:r>
            <w:r>
              <w:rPr>
                <w:rFonts w:hint="eastAsia" w:ascii="方正仿宋_GBK" w:hAnsi="方正仿宋_GBK" w:eastAsia="方正仿宋_GBK" w:cs="方正仿宋_GBK"/>
                <w:i w:val="0"/>
                <w:kern w:val="0"/>
                <w:sz w:val="20"/>
                <w:szCs w:val="20"/>
                <w:u w:val="none"/>
                <w:lang w:val="en-US" w:eastAsia="zh-CN" w:bidi="ar"/>
              </w:rPr>
              <w:fldChar w:fldCharType="separate"/>
            </w:r>
            <w:r>
              <w:rPr>
                <w:rStyle w:val="5"/>
                <w:rFonts w:hint="eastAsia" w:ascii="方正仿宋_GBK" w:hAnsi="方正仿宋_GBK" w:eastAsia="方正仿宋_GBK" w:cs="方正仿宋_GBK"/>
                <w:i w:val="0"/>
                <w:sz w:val="20"/>
                <w:szCs w:val="20"/>
                <w:u w:val="none"/>
              </w:rPr>
              <w:t>202D房地证2012字第02476号</w:t>
            </w:r>
            <w:r>
              <w:rPr>
                <w:rFonts w:hint="eastAsia" w:ascii="方正仿宋_GBK" w:hAnsi="方正仿宋_GBK" w:eastAsia="方正仿宋_GBK" w:cs="方正仿宋_GBK"/>
                <w:i w:val="0"/>
                <w:kern w:val="0"/>
                <w:sz w:val="20"/>
                <w:szCs w:val="20"/>
                <w:u w:val="none"/>
                <w:lang w:val="en-US" w:eastAsia="zh-CN" w:bidi="ar"/>
              </w:rPr>
              <w:fldChar w:fldCharType="end"/>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刘银租用</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良种果苗用地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10594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15.89</w:t>
            </w:r>
          </w:p>
        </w:tc>
        <w:tc>
          <w:tcPr>
            <w:tcW w:w="101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44"/>
                <w:szCs w:val="44"/>
                <w:u w:val="none"/>
              </w:rPr>
            </w:pPr>
          </w:p>
        </w:tc>
      </w:tr>
      <w:tr>
        <w:tblPrEx>
          <w:shd w:val="clear" w:color="auto" w:fill="auto"/>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9</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鱼洞轻轨终点站前行500米，云篆山入口周边</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巴南区鱼洞街道新华村</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20.18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kern w:val="0"/>
                <w:sz w:val="20"/>
                <w:szCs w:val="20"/>
                <w:u w:val="none"/>
                <w:lang w:val="en-US" w:eastAsia="zh-CN" w:bidi="ar"/>
              </w:rPr>
              <w:fldChar w:fldCharType="begin"/>
            </w:r>
            <w:r>
              <w:rPr>
                <w:rFonts w:hint="eastAsia" w:ascii="方正仿宋_GBK" w:hAnsi="方正仿宋_GBK" w:eastAsia="方正仿宋_GBK" w:cs="方正仿宋_GBK"/>
                <w:i w:val="0"/>
                <w:kern w:val="0"/>
                <w:sz w:val="20"/>
                <w:szCs w:val="20"/>
                <w:u w:val="none"/>
                <w:lang w:val="en-US" w:eastAsia="zh-CN" w:bidi="ar"/>
              </w:rPr>
              <w:instrText xml:space="preserve"> HYPERLINK "存量土地/202D房地证2012字第02477号.pdf" </w:instrText>
            </w:r>
            <w:r>
              <w:rPr>
                <w:rFonts w:hint="eastAsia" w:ascii="方正仿宋_GBK" w:hAnsi="方正仿宋_GBK" w:eastAsia="方正仿宋_GBK" w:cs="方正仿宋_GBK"/>
                <w:i w:val="0"/>
                <w:kern w:val="0"/>
                <w:sz w:val="20"/>
                <w:szCs w:val="20"/>
                <w:u w:val="none"/>
                <w:lang w:val="en-US" w:eastAsia="zh-CN" w:bidi="ar"/>
              </w:rPr>
              <w:fldChar w:fldCharType="separate"/>
            </w:r>
            <w:r>
              <w:rPr>
                <w:rStyle w:val="5"/>
                <w:rFonts w:hint="eastAsia" w:ascii="方正仿宋_GBK" w:hAnsi="方正仿宋_GBK" w:eastAsia="方正仿宋_GBK" w:cs="方正仿宋_GBK"/>
                <w:i w:val="0"/>
                <w:sz w:val="20"/>
                <w:szCs w:val="20"/>
                <w:u w:val="none"/>
              </w:rPr>
              <w:t>202D房地证2012字第02477号</w:t>
            </w:r>
            <w:r>
              <w:rPr>
                <w:rFonts w:hint="eastAsia" w:ascii="方正仿宋_GBK" w:hAnsi="方正仿宋_GBK" w:eastAsia="方正仿宋_GBK" w:cs="方正仿宋_GBK"/>
                <w:i w:val="0"/>
                <w:kern w:val="0"/>
                <w:sz w:val="20"/>
                <w:szCs w:val="20"/>
                <w:u w:val="none"/>
                <w:lang w:val="en-US" w:eastAsia="zh-CN" w:bidi="ar"/>
              </w:rPr>
              <w:fldChar w:fldCharType="end"/>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居民耕种</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良种示范场地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13456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20.18</w:t>
            </w:r>
          </w:p>
        </w:tc>
        <w:tc>
          <w:tcPr>
            <w:tcW w:w="101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44"/>
                <w:szCs w:val="44"/>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10</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鱼洞轻轨终点站前行500米，云篆山入口旁</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巴南区鱼洞街道马桑湾</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7.02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202D房地证2010字第00859号</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已绿化及公路建设使用</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国有存量土地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4682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7.02</w:t>
            </w:r>
          </w:p>
        </w:tc>
        <w:tc>
          <w:tcPr>
            <w:tcW w:w="101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44"/>
                <w:szCs w:val="44"/>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11</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李家沱三角碑</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巴南区李家沱渝沙村</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25.33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kern w:val="0"/>
                <w:sz w:val="20"/>
                <w:szCs w:val="20"/>
                <w:u w:val="none"/>
                <w:lang w:val="en-US" w:eastAsia="zh-CN" w:bidi="ar"/>
              </w:rPr>
              <w:fldChar w:fldCharType="begin"/>
            </w:r>
            <w:r>
              <w:rPr>
                <w:rFonts w:hint="eastAsia" w:ascii="方正仿宋_GBK" w:hAnsi="方正仿宋_GBK" w:eastAsia="方正仿宋_GBK" w:cs="方正仿宋_GBK"/>
                <w:i w:val="0"/>
                <w:kern w:val="0"/>
                <w:sz w:val="20"/>
                <w:szCs w:val="20"/>
                <w:u w:val="none"/>
                <w:lang w:val="en-US" w:eastAsia="zh-CN" w:bidi="ar"/>
              </w:rPr>
              <w:instrText xml:space="preserve"> HYPERLINK "储备地权证复印件/202D房地证2011字第00648号.doc" </w:instrText>
            </w:r>
            <w:r>
              <w:rPr>
                <w:rFonts w:hint="eastAsia" w:ascii="方正仿宋_GBK" w:hAnsi="方正仿宋_GBK" w:eastAsia="方正仿宋_GBK" w:cs="方正仿宋_GBK"/>
                <w:i w:val="0"/>
                <w:kern w:val="0"/>
                <w:sz w:val="20"/>
                <w:szCs w:val="20"/>
                <w:u w:val="none"/>
                <w:lang w:val="en-US" w:eastAsia="zh-CN" w:bidi="ar"/>
              </w:rPr>
              <w:fldChar w:fldCharType="separate"/>
            </w:r>
            <w:r>
              <w:rPr>
                <w:rStyle w:val="5"/>
                <w:rFonts w:hint="eastAsia" w:ascii="方正仿宋_GBK" w:hAnsi="方正仿宋_GBK" w:eastAsia="方正仿宋_GBK" w:cs="方正仿宋_GBK"/>
                <w:i w:val="0"/>
                <w:sz w:val="20"/>
                <w:szCs w:val="20"/>
                <w:u w:val="none"/>
              </w:rPr>
              <w:t>202D房地证2011字第00648号</w:t>
            </w:r>
            <w:r>
              <w:rPr>
                <w:rFonts w:hint="eastAsia" w:ascii="方正仿宋_GBK" w:hAnsi="方正仿宋_GBK" w:eastAsia="方正仿宋_GBK" w:cs="方正仿宋_GBK"/>
                <w:i w:val="0"/>
                <w:kern w:val="0"/>
                <w:sz w:val="20"/>
                <w:szCs w:val="20"/>
                <w:u w:val="none"/>
                <w:lang w:val="en-US" w:eastAsia="zh-CN" w:bidi="ar"/>
              </w:rPr>
              <w:fldChar w:fldCharType="end"/>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中小学用地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16890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25.33</w:t>
            </w:r>
          </w:p>
        </w:tc>
        <w:tc>
          <w:tcPr>
            <w:tcW w:w="101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12</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李家沱三角碑</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巴南区李家沱渝沙村</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34.38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202D房地证2011字第00649号</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住宅用地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22922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15.35</w:t>
            </w:r>
          </w:p>
        </w:tc>
        <w:tc>
          <w:tcPr>
            <w:tcW w:w="101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扣减盛世江南已建部分19.03亩</w:t>
            </w: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13</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18"/>
                <w:szCs w:val="18"/>
                <w:u w:val="none"/>
              </w:rPr>
            </w:pPr>
            <w:r>
              <w:rPr>
                <w:rFonts w:hint="eastAsia" w:ascii="方正仿宋_GBK" w:hAnsi="方正仿宋_GBK" w:eastAsia="方正仿宋_GBK" w:cs="方正仿宋_GBK"/>
                <w:i w:val="0"/>
                <w:color w:val="000000"/>
                <w:kern w:val="0"/>
                <w:sz w:val="18"/>
                <w:szCs w:val="18"/>
                <w:u w:val="none"/>
                <w:lang w:val="en-US" w:eastAsia="zh-CN" w:bidi="ar"/>
              </w:rPr>
              <w:t>渝南分流道40亩地块旁</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花溪建新15社、民主村3社</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3.31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正在办理</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绿化用地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2204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3.31</w:t>
            </w:r>
          </w:p>
        </w:tc>
        <w:tc>
          <w:tcPr>
            <w:tcW w:w="101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44"/>
                <w:szCs w:val="44"/>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14</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钛白粉厂旁</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巴南区花溪镇道角莲花二村</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18.97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kern w:val="0"/>
                <w:sz w:val="20"/>
                <w:szCs w:val="20"/>
                <w:u w:val="none"/>
                <w:lang w:val="en-US" w:eastAsia="zh-CN" w:bidi="ar"/>
              </w:rPr>
              <w:fldChar w:fldCharType="begin"/>
            </w:r>
            <w:r>
              <w:rPr>
                <w:rFonts w:hint="eastAsia" w:ascii="方正仿宋_GBK" w:hAnsi="方正仿宋_GBK" w:eastAsia="方正仿宋_GBK" w:cs="方正仿宋_GBK"/>
                <w:i w:val="0"/>
                <w:kern w:val="0"/>
                <w:sz w:val="20"/>
                <w:szCs w:val="20"/>
                <w:u w:val="none"/>
                <w:lang w:val="en-US" w:eastAsia="zh-CN" w:bidi="ar"/>
              </w:rPr>
              <w:instrText xml:space="preserve"> HYPERLINK "储备地权证复印件/202D房地证2011字第00647号.doc" </w:instrText>
            </w:r>
            <w:r>
              <w:rPr>
                <w:rFonts w:hint="eastAsia" w:ascii="方正仿宋_GBK" w:hAnsi="方正仿宋_GBK" w:eastAsia="方正仿宋_GBK" w:cs="方正仿宋_GBK"/>
                <w:i w:val="0"/>
                <w:kern w:val="0"/>
                <w:sz w:val="20"/>
                <w:szCs w:val="20"/>
                <w:u w:val="none"/>
                <w:lang w:val="en-US" w:eastAsia="zh-CN" w:bidi="ar"/>
              </w:rPr>
              <w:fldChar w:fldCharType="separate"/>
            </w:r>
            <w:r>
              <w:rPr>
                <w:rStyle w:val="5"/>
                <w:rFonts w:hint="eastAsia" w:ascii="方正仿宋_GBK" w:hAnsi="方正仿宋_GBK" w:eastAsia="方正仿宋_GBK" w:cs="方正仿宋_GBK"/>
                <w:i w:val="0"/>
                <w:sz w:val="20"/>
                <w:szCs w:val="20"/>
                <w:u w:val="none"/>
              </w:rPr>
              <w:t>202D房地证2011字第00647号</w:t>
            </w:r>
            <w:r>
              <w:rPr>
                <w:rFonts w:hint="eastAsia" w:ascii="方正仿宋_GBK" w:hAnsi="方正仿宋_GBK" w:eastAsia="方正仿宋_GBK" w:cs="方正仿宋_GBK"/>
                <w:i w:val="0"/>
                <w:kern w:val="0"/>
                <w:sz w:val="20"/>
                <w:szCs w:val="20"/>
                <w:u w:val="none"/>
                <w:lang w:val="en-US" w:eastAsia="zh-CN" w:bidi="ar"/>
              </w:rPr>
              <w:fldChar w:fldCharType="end"/>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 简易绿化、空地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住宅用地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12644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18.97</w:t>
            </w:r>
          </w:p>
        </w:tc>
        <w:tc>
          <w:tcPr>
            <w:tcW w:w="101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44"/>
                <w:szCs w:val="44"/>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15</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公平车站旁，农机经营管理站背后农田</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巴南区界石镇公平街</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1.40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巴国用(2000)字第90-1号</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闲置（菜地）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工业</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931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其他镇街一般管护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1.40</w:t>
            </w:r>
          </w:p>
        </w:tc>
        <w:tc>
          <w:tcPr>
            <w:tcW w:w="101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44"/>
                <w:szCs w:val="44"/>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16</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与圣灯山村委会等面积置换土地</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巴南区跳石镇圣灯山街上</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5.19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kern w:val="0"/>
                <w:sz w:val="20"/>
                <w:szCs w:val="20"/>
                <w:u w:val="none"/>
                <w:lang w:val="en-US" w:eastAsia="zh-CN" w:bidi="ar"/>
              </w:rPr>
              <w:fldChar w:fldCharType="begin"/>
            </w:r>
            <w:r>
              <w:rPr>
                <w:rFonts w:hint="eastAsia" w:ascii="方正仿宋_GBK" w:hAnsi="方正仿宋_GBK" w:eastAsia="方正仿宋_GBK" w:cs="方正仿宋_GBK"/>
                <w:i w:val="0"/>
                <w:kern w:val="0"/>
                <w:sz w:val="20"/>
                <w:szCs w:val="20"/>
                <w:u w:val="none"/>
                <w:lang w:val="en-US" w:eastAsia="zh-CN" w:bidi="ar"/>
              </w:rPr>
              <w:instrText xml:space="preserve"> HYPERLINK "存量土地/202D房地证2012字第02154号.pdf" </w:instrText>
            </w:r>
            <w:r>
              <w:rPr>
                <w:rFonts w:hint="eastAsia" w:ascii="方正仿宋_GBK" w:hAnsi="方正仿宋_GBK" w:eastAsia="方正仿宋_GBK" w:cs="方正仿宋_GBK"/>
                <w:i w:val="0"/>
                <w:kern w:val="0"/>
                <w:sz w:val="20"/>
                <w:szCs w:val="20"/>
                <w:u w:val="none"/>
                <w:lang w:val="en-US" w:eastAsia="zh-CN" w:bidi="ar"/>
              </w:rPr>
              <w:fldChar w:fldCharType="separate"/>
            </w:r>
            <w:r>
              <w:rPr>
                <w:rStyle w:val="5"/>
                <w:rFonts w:hint="eastAsia" w:ascii="方正仿宋_GBK" w:hAnsi="方正仿宋_GBK" w:eastAsia="方正仿宋_GBK" w:cs="方正仿宋_GBK"/>
                <w:i w:val="0"/>
                <w:sz w:val="20"/>
                <w:szCs w:val="20"/>
                <w:u w:val="none"/>
              </w:rPr>
              <w:t>202D房地证2012字第02154号</w:t>
            </w:r>
            <w:r>
              <w:rPr>
                <w:rFonts w:hint="eastAsia" w:ascii="方正仿宋_GBK" w:hAnsi="方正仿宋_GBK" w:eastAsia="方正仿宋_GBK" w:cs="方正仿宋_GBK"/>
                <w:i w:val="0"/>
                <w:kern w:val="0"/>
                <w:sz w:val="20"/>
                <w:szCs w:val="20"/>
                <w:u w:val="none"/>
                <w:lang w:val="en-US" w:eastAsia="zh-CN" w:bidi="ar"/>
              </w:rPr>
              <w:fldChar w:fldCharType="end"/>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被村民种菜</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办公、住宅</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3457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其他镇街一般管护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5.19</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17</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林基水库旁</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陈家滩子口村</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2.02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202D房地证2006字第00677号</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闲置（被村民种植花木）</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住宅用地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1345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其他镇街一般管护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2.02</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根据跳石镇函，权属有争议</w:t>
            </w: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18</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林基水库旁</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陈家滩子口村</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20.77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202D房地证2006字第00676号</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林基水库使用</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住宅用地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13850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其他镇街一般管护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20.77</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19</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石岗至南湖方向右侧，南湖人行培训中心再前行约200米</w:t>
            </w:r>
          </w:p>
        </w:tc>
        <w:tc>
          <w:tcPr>
            <w:tcW w:w="17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巴南区石岗乡水竹村八步岩社</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9.96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巴国用〔96〕字第12—2号</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闲置</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旅游用地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6639.05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其他镇街一般管护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9.96</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无证</w:t>
            </w:r>
          </w:p>
        </w:tc>
      </w:tr>
      <w:tr>
        <w:tblPrEx>
          <w:shd w:val="clear" w:color="auto" w:fill="auto"/>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20</w:t>
            </w: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2.86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巴国用96字第122-5号</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闲置（林地）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旅游用地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1906.70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其他镇街一般管护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2.86</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855"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21</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18"/>
                <w:szCs w:val="18"/>
                <w:u w:val="none"/>
              </w:rPr>
            </w:pPr>
            <w:r>
              <w:rPr>
                <w:rFonts w:hint="eastAsia" w:ascii="方正仿宋_GBK" w:hAnsi="方正仿宋_GBK" w:eastAsia="方正仿宋_GBK" w:cs="方正仿宋_GBK"/>
                <w:i w:val="0"/>
                <w:color w:val="000000"/>
                <w:kern w:val="0"/>
                <w:sz w:val="18"/>
                <w:szCs w:val="18"/>
                <w:u w:val="none"/>
                <w:lang w:val="en-US" w:eastAsia="zh-CN" w:bidi="ar"/>
              </w:rPr>
              <w:t>石岗至南湖方向右侧，途径南湖人行培训中心支路口在前行约200米，支路前行约20米处</w:t>
            </w: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8.00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巴国用99字第117-1号</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居民种植</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教育培训中心</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5333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其他镇街一般管护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8.00</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855"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22</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18"/>
                <w:szCs w:val="18"/>
                <w:u w:val="none"/>
              </w:rPr>
            </w:pPr>
            <w:r>
              <w:rPr>
                <w:rFonts w:hint="eastAsia" w:ascii="方正仿宋_GBK" w:hAnsi="方正仿宋_GBK" w:eastAsia="方正仿宋_GBK" w:cs="方正仿宋_GBK"/>
                <w:i w:val="0"/>
                <w:color w:val="000000"/>
                <w:kern w:val="0"/>
                <w:sz w:val="18"/>
                <w:szCs w:val="18"/>
                <w:u w:val="none"/>
                <w:lang w:val="en-US" w:eastAsia="zh-CN" w:bidi="ar"/>
              </w:rPr>
              <w:t>石岗至南湖方向右侧，途径南湖人行培训中心支路口在前行约400米，有一幢红色房子，步行约50米处</w:t>
            </w: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2.77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巴国用95字第120-2号</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居民种植</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旅游用地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1848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其他镇街一般管护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2.77</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23</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东泉正街往东泉大桥方向，过东泉大桥前行约300米的左侧</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东泉镇佛灵街</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6.00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202D房地证2006字第00399号</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全部被白禅寺占用（停车场）</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机关团体用地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4000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其他镇街一般管护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6.00</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方正仿宋_GBK" w:hAnsi="方正仿宋_GBK" w:eastAsia="方正仿宋_GBK" w:cs="方正仿宋_GBK"/>
                <w:i w:val="0"/>
                <w:color w:val="000000"/>
                <w:sz w:val="24"/>
                <w:szCs w:val="24"/>
                <w:u w:val="none"/>
              </w:rPr>
            </w:pPr>
          </w:p>
        </w:tc>
      </w:tr>
      <w:tr>
        <w:tblPrEx>
          <w:tblCellMar>
            <w:top w:w="0" w:type="dxa"/>
            <w:left w:w="0" w:type="dxa"/>
            <w:bottom w:w="0" w:type="dxa"/>
            <w:right w:w="0" w:type="dxa"/>
          </w:tblCellMar>
        </w:tblPrEx>
        <w:trPr>
          <w:trHeight w:val="855"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24</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接龙至姜家方向，姜家主公路左侧，面对姜家医院右侧公路至老镇政府宿舍楼空坝处</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18"/>
                <w:szCs w:val="18"/>
                <w:u w:val="none"/>
              </w:rPr>
            </w:pPr>
            <w:r>
              <w:rPr>
                <w:rFonts w:hint="eastAsia" w:ascii="方正仿宋_GBK" w:hAnsi="方正仿宋_GBK" w:eastAsia="方正仿宋_GBK" w:cs="方正仿宋_GBK"/>
                <w:i w:val="0"/>
                <w:color w:val="000000"/>
                <w:kern w:val="0"/>
                <w:sz w:val="18"/>
                <w:szCs w:val="18"/>
                <w:u w:val="none"/>
                <w:lang w:val="en-US" w:eastAsia="zh-CN" w:bidi="ar"/>
              </w:rPr>
              <w:t>姜家镇米市街1号</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3.78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巴国用（92）字第080号</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原单位自行管理</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公路、空坝</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2523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其他镇街一般管护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3.78</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25</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接龙至姜家方向，姜家主公路右侧，姜家医院斜支路口对面</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18"/>
                <w:szCs w:val="18"/>
                <w:u w:val="none"/>
              </w:rPr>
            </w:pPr>
            <w:r>
              <w:rPr>
                <w:rFonts w:hint="eastAsia" w:ascii="方正仿宋_GBK" w:hAnsi="方正仿宋_GBK" w:eastAsia="方正仿宋_GBK" w:cs="方正仿宋_GBK"/>
                <w:i w:val="0"/>
                <w:color w:val="000000"/>
                <w:kern w:val="0"/>
                <w:sz w:val="18"/>
                <w:szCs w:val="18"/>
                <w:u w:val="none"/>
                <w:lang w:val="en-US" w:eastAsia="zh-CN" w:bidi="ar"/>
              </w:rPr>
              <w:t>姜家乡龙洞村上场口社</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0.10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巴国用（92）字第068号</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原单位自行管理</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垃圾站</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70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其他镇街一般管护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0.10</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26</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往白鹤村方向的饶镇公路右侧</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18"/>
                <w:szCs w:val="18"/>
                <w:u w:val="none"/>
              </w:rPr>
            </w:pPr>
            <w:r>
              <w:rPr>
                <w:rFonts w:hint="eastAsia" w:ascii="方正仿宋_GBK" w:hAnsi="方正仿宋_GBK" w:eastAsia="方正仿宋_GBK" w:cs="方正仿宋_GBK"/>
                <w:i w:val="0"/>
                <w:color w:val="000000"/>
                <w:kern w:val="0"/>
                <w:sz w:val="18"/>
                <w:szCs w:val="18"/>
                <w:u w:val="none"/>
                <w:lang w:val="en-US" w:eastAsia="zh-CN" w:bidi="ar"/>
              </w:rPr>
              <w:t>姜家乡文山村邓家湾社</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2.86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巴国用（92）字第069号</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部分土地已经被渝路公司占用（绿化）</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垃圾站</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1904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其他镇街一般管护</w:t>
            </w:r>
          </w:p>
        </w:tc>
        <w:tc>
          <w:tcPr>
            <w:tcW w:w="10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2.86</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方正仿宋_GBK" w:hAnsi="方正仿宋_GBK" w:eastAsia="方正仿宋_GBK" w:cs="方正仿宋_GBK"/>
                <w:i w:val="0"/>
                <w:color w:val="000000"/>
                <w:sz w:val="24"/>
                <w:szCs w:val="24"/>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27</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民主新村（农村商业银行对面）理工大学地块</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花溪街道民主村9社</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7.94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渝（2021）巴南区不动产权第0001388340号</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回收站</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工业用地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5293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7.94</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28</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东泉正街社区旁地块</w:t>
            </w:r>
          </w:p>
        </w:tc>
        <w:tc>
          <w:tcPr>
            <w:tcW w:w="1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东温泉镇</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1.51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202D房地证2015字第00458号</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已硬化</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划拨</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1008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1.51 </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38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小计</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264.52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 xml:space="preserve">176345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245.48 </w:t>
            </w:r>
          </w:p>
        </w:tc>
        <w:tc>
          <w:tcPr>
            <w:tcW w:w="101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38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合计</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 xml:space="preserve">1003.53 </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4"/>
                <w:szCs w:val="24"/>
                <w:u w:val="none"/>
              </w:rPr>
            </w:pP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4"/>
                <w:szCs w:val="24"/>
                <w:u w:val="none"/>
              </w:rPr>
            </w:pP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4"/>
                <w:szCs w:val="24"/>
                <w:u w:val="none"/>
              </w:rPr>
            </w:pP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 xml:space="preserve">685966 </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4"/>
                <w:szCs w:val="24"/>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 xml:space="preserve">988.91 </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4"/>
                <w:szCs w:val="24"/>
                <w:u w:val="none"/>
              </w:rPr>
            </w:pPr>
          </w:p>
        </w:tc>
      </w:tr>
      <w:tr>
        <w:tblPrEx>
          <w:shd w:val="clear" w:color="auto" w:fill="auto"/>
          <w:tblCellMar>
            <w:top w:w="0" w:type="dxa"/>
            <w:left w:w="0" w:type="dxa"/>
            <w:bottom w:w="0" w:type="dxa"/>
            <w:right w:w="0" w:type="dxa"/>
          </w:tblCellMar>
        </w:tblPrEx>
        <w:trPr>
          <w:trHeight w:val="570" w:hRule="atLeast"/>
        </w:trPr>
        <w:tc>
          <w:tcPr>
            <w:tcW w:w="15047" w:type="dxa"/>
            <w:gridSpan w:val="11"/>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44"/>
                <w:szCs w:val="44"/>
                <w:u w:val="none"/>
              </w:rPr>
            </w:pPr>
            <w:r>
              <w:rPr>
                <w:rFonts w:hint="eastAsia" w:ascii="方正仿宋_GBK" w:hAnsi="方正仿宋_GBK" w:eastAsia="方正仿宋_GBK" w:cs="方正仿宋_GBK"/>
                <w:b/>
                <w:i w:val="0"/>
                <w:color w:val="000000"/>
                <w:kern w:val="0"/>
                <w:sz w:val="44"/>
                <w:szCs w:val="44"/>
                <w:u w:val="none"/>
                <w:lang w:val="en-US" w:eastAsia="zh-CN" w:bidi="ar"/>
              </w:rPr>
              <w:t xml:space="preserve"> 职教城公司未利用土地管护明细表</w:t>
            </w:r>
            <w:r>
              <w:rPr>
                <w:rFonts w:hint="eastAsia" w:ascii="方正仿宋_GBK" w:hAnsi="方正仿宋_GBK" w:eastAsia="方正仿宋_GBK" w:cs="方正仿宋_GBK"/>
                <w:b/>
                <w:i w:val="0"/>
                <w:color w:val="000000"/>
                <w:kern w:val="0"/>
                <w:sz w:val="30"/>
                <w:szCs w:val="30"/>
                <w:u w:val="none"/>
                <w:lang w:val="en-US" w:eastAsia="zh-CN" w:bidi="ar"/>
              </w:rPr>
              <w:t>（截止日期2026年5月份 ）</w:t>
            </w:r>
          </w:p>
        </w:tc>
      </w:tr>
      <w:tr>
        <w:tblPrEx>
          <w:shd w:val="clear" w:color="auto" w:fill="auto"/>
          <w:tblCellMar>
            <w:top w:w="0" w:type="dxa"/>
            <w:left w:w="0" w:type="dxa"/>
            <w:bottom w:w="0" w:type="dxa"/>
            <w:right w:w="0" w:type="dxa"/>
          </w:tblCellMar>
        </w:tblPrEx>
        <w:trPr>
          <w:trHeight w:val="300" w:hRule="atLeast"/>
        </w:trPr>
        <w:tc>
          <w:tcPr>
            <w:tcW w:w="4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序号</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地块名称</w:t>
            </w:r>
          </w:p>
        </w:tc>
        <w:tc>
          <w:tcPr>
            <w:tcW w:w="17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位置</w:t>
            </w:r>
          </w:p>
        </w:tc>
        <w:tc>
          <w:tcPr>
            <w:tcW w:w="109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面积</w:t>
            </w:r>
            <w:r>
              <w:rPr>
                <w:rFonts w:hint="eastAsia" w:ascii="方正仿宋_GBK" w:hAnsi="方正仿宋_GBK" w:eastAsia="方正仿宋_GBK" w:cs="方正仿宋_GBK"/>
                <w:b/>
                <w:i w:val="0"/>
                <w:color w:val="000000"/>
                <w:kern w:val="0"/>
                <w:sz w:val="22"/>
                <w:szCs w:val="22"/>
                <w:u w:val="none"/>
                <w:lang w:val="en-US" w:eastAsia="zh-CN" w:bidi="ar"/>
              </w:rPr>
              <w:br w:type="textWrapping"/>
            </w:r>
            <w:r>
              <w:rPr>
                <w:rFonts w:hint="eastAsia" w:ascii="方正仿宋_GBK" w:hAnsi="方正仿宋_GBK" w:eastAsia="方正仿宋_GBK" w:cs="方正仿宋_GBK"/>
                <w:b/>
                <w:i w:val="0"/>
                <w:color w:val="000000"/>
                <w:kern w:val="0"/>
                <w:sz w:val="22"/>
                <w:szCs w:val="22"/>
                <w:u w:val="none"/>
                <w:lang w:val="en-US" w:eastAsia="zh-CN" w:bidi="ar"/>
              </w:rPr>
              <w:t>（亩）</w:t>
            </w:r>
          </w:p>
        </w:tc>
        <w:tc>
          <w:tcPr>
            <w:tcW w:w="20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规划编号（证号）</w:t>
            </w:r>
          </w:p>
        </w:tc>
        <w:tc>
          <w:tcPr>
            <w:tcW w:w="155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现状</w:t>
            </w:r>
          </w:p>
        </w:tc>
        <w:tc>
          <w:tcPr>
            <w:tcW w:w="275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规划情况</w:t>
            </w:r>
          </w:p>
        </w:tc>
        <w:tc>
          <w:tcPr>
            <w:tcW w:w="27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管护</w:t>
            </w:r>
          </w:p>
        </w:tc>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备注</w:t>
            </w:r>
          </w:p>
        </w:tc>
      </w:tr>
      <w:tr>
        <w:tblPrEx>
          <w:tblCellMar>
            <w:top w:w="0" w:type="dxa"/>
            <w:left w:w="0" w:type="dxa"/>
            <w:bottom w:w="0" w:type="dxa"/>
            <w:right w:w="0" w:type="dxa"/>
          </w:tblCellMar>
        </w:tblPrEx>
        <w:trPr>
          <w:trHeight w:val="60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规划用途</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面积</w:t>
            </w:r>
            <w:r>
              <w:rPr>
                <w:rFonts w:hint="eastAsia" w:ascii="方正仿宋_GBK" w:hAnsi="方正仿宋_GBK" w:eastAsia="方正仿宋_GBK" w:cs="方正仿宋_GBK"/>
                <w:b/>
                <w:i w:val="0"/>
                <w:color w:val="000000"/>
                <w:kern w:val="0"/>
                <w:sz w:val="22"/>
                <w:szCs w:val="22"/>
                <w:u w:val="none"/>
                <w:lang w:val="en-US" w:eastAsia="zh-CN" w:bidi="ar"/>
              </w:rPr>
              <w:br w:type="textWrapping"/>
            </w:r>
            <w:r>
              <w:rPr>
                <w:rFonts w:hint="eastAsia" w:ascii="方正仿宋_GBK" w:hAnsi="方正仿宋_GBK" w:eastAsia="方正仿宋_GBK" w:cs="方正仿宋_GBK"/>
                <w:b/>
                <w:i w:val="0"/>
                <w:color w:val="000000"/>
                <w:kern w:val="0"/>
                <w:sz w:val="22"/>
                <w:szCs w:val="22"/>
                <w:u w:val="none"/>
                <w:lang w:val="en-US" w:eastAsia="zh-CN" w:bidi="ar"/>
              </w:rPr>
              <w:t>（亩）</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管护分类</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管护面积（亩）</w:t>
            </w:r>
          </w:p>
        </w:tc>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r>
      <w:tr>
        <w:tblPrEx>
          <w:tblCellMar>
            <w:top w:w="0" w:type="dxa"/>
            <w:left w:w="0" w:type="dxa"/>
            <w:bottom w:w="0" w:type="dxa"/>
            <w:right w:w="0" w:type="dxa"/>
          </w:tblCellMar>
        </w:tblPrEx>
        <w:trPr>
          <w:trHeight w:val="570" w:hRule="atLeast"/>
        </w:trPr>
        <w:tc>
          <w:tcPr>
            <w:tcW w:w="473"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1</w:t>
            </w:r>
          </w:p>
        </w:tc>
        <w:tc>
          <w:tcPr>
            <w:tcW w:w="1575"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492项目及周边公建</w:t>
            </w:r>
          </w:p>
        </w:tc>
        <w:tc>
          <w:tcPr>
            <w:tcW w:w="179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龙洲湾街道解放村</w:t>
            </w:r>
          </w:p>
        </w:tc>
        <w:tc>
          <w:tcPr>
            <w:tcW w:w="1093"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283.02</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V16/02、V17-3/02</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居住用地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169.94</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169.94</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V17-1/01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停车场</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6.31</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6.31</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V17-2/02</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社会福利用地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13.49</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13.49</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V23-2/02</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商业用地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14.5</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14.5</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基础设施</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道路</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78.78</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35.47</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扣除纵一路（一期）工程43.31亩</w:t>
            </w:r>
          </w:p>
        </w:tc>
      </w:tr>
      <w:tr>
        <w:tblPrEx>
          <w:tblCellMar>
            <w:top w:w="0" w:type="dxa"/>
            <w:left w:w="0" w:type="dxa"/>
            <w:bottom w:w="0" w:type="dxa"/>
            <w:right w:w="0" w:type="dxa"/>
          </w:tblCellMar>
        </w:tblPrEx>
        <w:trPr>
          <w:trHeight w:val="570" w:hRule="atLeast"/>
        </w:trPr>
        <w:tc>
          <w:tcPr>
            <w:tcW w:w="4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2</w:t>
            </w:r>
          </w:p>
        </w:tc>
        <w:tc>
          <w:tcPr>
            <w:tcW w:w="157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1627项目及周边公建</w:t>
            </w:r>
          </w:p>
        </w:tc>
        <w:tc>
          <w:tcPr>
            <w:tcW w:w="17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龙洲湾街道解放村、团结村、沿河村</w:t>
            </w:r>
          </w:p>
        </w:tc>
        <w:tc>
          <w:tcPr>
            <w:tcW w:w="109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1312.35</w:t>
            </w: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V26-1/01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居住用地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69</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69</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V26-2/01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停车场</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5.85</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5.85</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V28/01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居住用地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63.45</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63.45</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W6-1/01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居住用地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56.25</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56.25</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W5-1/01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居住用地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63.6</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63.6</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W8-1/01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居住用地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38.1</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38.1</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V31-1/01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商业用地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22.05</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22.05</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W12-1/01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商业用地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70.05</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70.05</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W7-1/01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中小学用地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59.4</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45.5</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扣除中铁建板房13.9亩</w:t>
            </w: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W4-1/01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中小学用地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49.65</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49.65</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W</w:t>
            </w:r>
            <w:r>
              <w:rPr>
                <w:rFonts w:hint="eastAsia" w:ascii="宋体" w:hAnsi="宋体" w:eastAsia="宋体" w:cs="宋体"/>
                <w:i w:val="0"/>
                <w:color w:val="000000"/>
                <w:kern w:val="0"/>
                <w:sz w:val="24"/>
                <w:szCs w:val="24"/>
                <w:u w:val="none"/>
                <w:lang w:val="en-US" w:eastAsia="zh-CN" w:bidi="ar"/>
              </w:rPr>
              <w:t>4-2/01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街道服务用地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22.5</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22.5</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W</w:t>
            </w:r>
            <w:r>
              <w:rPr>
                <w:rFonts w:hint="eastAsia" w:ascii="宋体" w:hAnsi="宋体" w:eastAsia="宋体" w:cs="宋体"/>
                <w:i w:val="0"/>
                <w:color w:val="000000"/>
                <w:kern w:val="0"/>
                <w:sz w:val="24"/>
                <w:szCs w:val="24"/>
                <w:u w:val="none"/>
                <w:lang w:val="en-US" w:eastAsia="zh-CN" w:bidi="ar"/>
              </w:rPr>
              <w:t>3-1/01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教育科研用地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49.65</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49.65</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W9-4/01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防护绿地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43.78</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43.78</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W9-3/01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公园绿地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20.12</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20.12</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W23-2/01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教育科研用地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148.05</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148.05</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基础设施</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道路、公园</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530.85</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2"/>
                <w:szCs w:val="22"/>
                <w:u w:val="none"/>
              </w:rPr>
            </w:pPr>
            <w:r>
              <w:rPr>
                <w:rFonts w:hint="eastAsia" w:ascii="方正仿宋_GBK" w:hAnsi="方正仿宋_GBK" w:eastAsia="方正仿宋_GBK" w:cs="方正仿宋_GBK"/>
                <w:i w:val="0"/>
                <w:color w:val="000000"/>
                <w:kern w:val="0"/>
                <w:sz w:val="22"/>
                <w:szCs w:val="22"/>
                <w:u w:val="none"/>
                <w:lang w:val="en-US" w:eastAsia="zh-CN" w:bidi="ar"/>
              </w:rPr>
              <w:t>109.41</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扣除职教城片区市政设施工程225.7亩；扣除纵一路二期、横十路、横十二路和横十三路工程195.74亩</w:t>
            </w:r>
          </w:p>
        </w:tc>
      </w:tr>
      <w:tr>
        <w:tblPrEx>
          <w:shd w:val="clear" w:color="auto" w:fill="auto"/>
          <w:tblCellMar>
            <w:top w:w="0" w:type="dxa"/>
            <w:left w:w="0" w:type="dxa"/>
            <w:bottom w:w="0" w:type="dxa"/>
            <w:right w:w="0" w:type="dxa"/>
          </w:tblCellMar>
        </w:tblPrEx>
        <w:trPr>
          <w:trHeight w:val="570" w:hRule="atLeast"/>
        </w:trPr>
        <w:tc>
          <w:tcPr>
            <w:tcW w:w="473"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3</w:t>
            </w:r>
          </w:p>
        </w:tc>
        <w:tc>
          <w:tcPr>
            <w:tcW w:w="1575"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云教育产业园</w:t>
            </w:r>
          </w:p>
        </w:tc>
        <w:tc>
          <w:tcPr>
            <w:tcW w:w="179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鱼洞街道金竹村</w:t>
            </w:r>
          </w:p>
        </w:tc>
        <w:tc>
          <w:tcPr>
            <w:tcW w:w="1093"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276.59</w:t>
            </w: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S44-1/02</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商务服务用地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44.33</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44.33</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S44-5/03</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变电站</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11.55</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11.55</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S44-6/02</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停车场</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7.49</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7.49</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B1-2/01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消防站用地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47.45</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47.45</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B6-2/01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中小学用地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30.37</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28.54</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扣除中铁建板房1.83亩</w:t>
            </w: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S45-3/01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商务服务用地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19.35</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19.35</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S45-2/04</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高压防护绿地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12.57</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12.57</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B7-1/03</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高压防护绿地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32.79</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27.09</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扣除云滨路延伸段项目工程使用5.7亩</w:t>
            </w:r>
          </w:p>
        </w:tc>
      </w:tr>
      <w:tr>
        <w:tblPrEx>
          <w:shd w:val="clear" w:color="auto" w:fill="auto"/>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S42-6/04</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工业用地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31.62</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26.22</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扣除金竹保障性住房项目临时板房5.4亩</w:t>
            </w:r>
          </w:p>
        </w:tc>
      </w:tr>
      <w:tr>
        <w:tblPrEx>
          <w:tblCellMar>
            <w:top w:w="0" w:type="dxa"/>
            <w:left w:w="0" w:type="dxa"/>
            <w:bottom w:w="0" w:type="dxa"/>
            <w:right w:w="0" w:type="dxa"/>
          </w:tblCellMar>
        </w:tblPrEx>
        <w:trPr>
          <w:trHeight w:val="570" w:hRule="atLeast"/>
        </w:trPr>
        <w:tc>
          <w:tcPr>
            <w:tcW w:w="47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两纵四横放坡区（规划区外）</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4</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零星地块</w:t>
            </w:r>
          </w:p>
        </w:tc>
        <w:tc>
          <w:tcPr>
            <w:tcW w:w="17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龙洲湾街道解放村、团结村、沿河村</w:t>
            </w:r>
          </w:p>
        </w:tc>
        <w:tc>
          <w:tcPr>
            <w:tcW w:w="109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380.66</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V14-4/02</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高压防护绿地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75.35</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75.35</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W11/01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文化设施用地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55.92</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55.92</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W12-7/01</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停车场</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15.07</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15.07</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V15-1/03（部分）</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教育科研用地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20.57</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20.57</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渝南大道放坡区（规划区内）</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473"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黄家老屋（规划区内）</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文物</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公园绿地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tblCellMar>
            <w:top w:w="0" w:type="dxa"/>
            <w:left w:w="0" w:type="dxa"/>
            <w:bottom w:w="0" w:type="dxa"/>
            <w:right w:w="0" w:type="dxa"/>
          </w:tblCellMar>
        </w:tblPrEx>
        <w:trPr>
          <w:trHeight w:val="570" w:hRule="atLeast"/>
        </w:trPr>
        <w:tc>
          <w:tcPr>
            <w:tcW w:w="473"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2"/>
                <w:szCs w:val="22"/>
                <w:u w:val="none"/>
              </w:rPr>
            </w:pP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学苑支路与和泓文华府小区之间高压绿地（规划区内）</w:t>
            </w: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空地</w:t>
            </w: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高压防护绿地</w:t>
            </w: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3.75</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i w:val="0"/>
                <w:color w:val="000000"/>
                <w:sz w:val="20"/>
                <w:szCs w:val="20"/>
                <w:u w:val="none"/>
              </w:rPr>
            </w:pPr>
            <w:r>
              <w:rPr>
                <w:rFonts w:hint="eastAsia" w:ascii="方正仿宋_GBK" w:hAnsi="方正仿宋_GBK" w:eastAsia="方正仿宋_GBK" w:cs="方正仿宋_GBK"/>
                <w:i w:val="0"/>
                <w:color w:val="000000"/>
                <w:kern w:val="0"/>
                <w:sz w:val="20"/>
                <w:szCs w:val="20"/>
                <w:u w:val="none"/>
                <w:lang w:val="en-US" w:eastAsia="zh-CN" w:bidi="ar"/>
              </w:rPr>
              <w:t>主城镇街一般管护</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3.75</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r>
        <w:tblPrEx>
          <w:shd w:val="clear" w:color="auto" w:fill="auto"/>
          <w:tblCellMar>
            <w:top w:w="0" w:type="dxa"/>
            <w:left w:w="0" w:type="dxa"/>
            <w:bottom w:w="0" w:type="dxa"/>
            <w:right w:w="0" w:type="dxa"/>
          </w:tblCellMar>
        </w:tblPrEx>
        <w:trPr>
          <w:trHeight w:val="570" w:hRule="atLeast"/>
        </w:trPr>
        <w:tc>
          <w:tcPr>
            <w:tcW w:w="383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合计</w:t>
            </w:r>
          </w:p>
        </w:tc>
        <w:tc>
          <w:tcPr>
            <w:tcW w:w="10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2252.62</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0"/>
                <w:szCs w:val="20"/>
                <w:u w:val="none"/>
              </w:rPr>
            </w:pPr>
          </w:p>
        </w:tc>
        <w:tc>
          <w:tcPr>
            <w:tcW w:w="1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0"/>
                <w:szCs w:val="20"/>
                <w:u w:val="none"/>
              </w:rPr>
            </w:pPr>
          </w:p>
        </w:tc>
        <w:tc>
          <w:tcPr>
            <w:tcW w:w="15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b/>
                <w:i w:val="0"/>
                <w:color w:val="000000"/>
                <w:sz w:val="20"/>
                <w:szCs w:val="20"/>
                <w:u w:val="none"/>
              </w:rPr>
            </w:pPr>
          </w:p>
        </w:tc>
        <w:tc>
          <w:tcPr>
            <w:tcW w:w="1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2265.55</w:t>
            </w:r>
          </w:p>
        </w:tc>
        <w:tc>
          <w:tcPr>
            <w:tcW w:w="17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方正仿宋_GBK" w:hAnsi="方正仿宋_GBK" w:eastAsia="方正仿宋_GBK" w:cs="方正仿宋_GBK"/>
                <w:b/>
                <w:i w:val="0"/>
                <w:color w:val="000000"/>
                <w:sz w:val="22"/>
                <w:szCs w:val="22"/>
                <w:u w:val="none"/>
              </w:rPr>
            </w:pPr>
            <w:r>
              <w:rPr>
                <w:rFonts w:hint="eastAsia" w:ascii="方正仿宋_GBK" w:hAnsi="方正仿宋_GBK" w:eastAsia="方正仿宋_GBK" w:cs="方正仿宋_GBK"/>
                <w:b/>
                <w:i w:val="0"/>
                <w:color w:val="000000"/>
                <w:kern w:val="0"/>
                <w:sz w:val="22"/>
                <w:szCs w:val="22"/>
                <w:u w:val="none"/>
                <w:lang w:val="en-US" w:eastAsia="zh-CN" w:bidi="ar"/>
              </w:rPr>
              <w:t>1773.97</w:t>
            </w:r>
          </w:p>
        </w:tc>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方正仿宋_GBK" w:hAnsi="方正仿宋_GBK" w:eastAsia="方正仿宋_GBK" w:cs="方正仿宋_GBK"/>
                <w:i w:val="0"/>
                <w:color w:val="000000"/>
                <w:sz w:val="20"/>
                <w:szCs w:val="20"/>
                <w:u w:val="none"/>
              </w:rPr>
            </w:pPr>
          </w:p>
        </w:tc>
      </w:tr>
    </w:tbl>
    <w:p>
      <w:pPr>
        <w:pStyle w:val="2"/>
        <w:rPr>
          <w:rFonts w:hint="default"/>
        </w:rPr>
        <w:sectPr>
          <w:pgSz w:w="16838" w:h="11906" w:orient="landscape"/>
          <w:pgMar w:top="1531" w:right="1417" w:bottom="1531" w:left="1134" w:header="851" w:footer="992" w:gutter="0"/>
          <w:pgBorders>
            <w:top w:val="none" w:sz="0" w:space="0"/>
            <w:left w:val="none" w:sz="0" w:space="0"/>
            <w:bottom w:val="none" w:sz="0" w:space="0"/>
            <w:right w:val="none" w:sz="0" w:space="0"/>
          </w:pgBorders>
          <w:cols w:space="0" w:num="1"/>
          <w:rtlGutter w:val="0"/>
          <w:docGrid w:type="lines" w:linePitch="312" w:charSpace="0"/>
        </w:sect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46947"/>
    <w:multiLevelType w:val="singleLevel"/>
    <w:tmpl w:val="03046947"/>
    <w:lvl w:ilvl="0" w:tentative="0">
      <w:start w:val="4"/>
      <w:numFmt w:val="chineseCounting"/>
      <w:suff w:val="nothing"/>
      <w:lvlText w:val="（%1）"/>
      <w:lvlJc w:val="left"/>
      <w:rPr>
        <w:rFonts w:hint="eastAsia"/>
      </w:rPr>
    </w:lvl>
  </w:abstractNum>
  <w:abstractNum w:abstractNumId="1">
    <w:nsid w:val="1BCD78E6"/>
    <w:multiLevelType w:val="singleLevel"/>
    <w:tmpl w:val="1BCD78E6"/>
    <w:lvl w:ilvl="0" w:tentative="0">
      <w:start w:val="1"/>
      <w:numFmt w:val="decimal"/>
      <w:suff w:val="space"/>
      <w:lvlText w:val="%1."/>
      <w:lvlJc w:val="left"/>
      <w:pPr>
        <w:ind w:left="640" w:leftChars="0" w:firstLine="0" w:firstLineChars="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B1F4082"/>
    <w:rsid w:val="1B1F40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toc 1"/>
    <w:basedOn w:val="1"/>
    <w:next w:val="1"/>
    <w:qFormat/>
    <w:uiPriority w:val="0"/>
    <w:pPr>
      <w:tabs>
        <w:tab w:val="right" w:leader="dot" w:pos="9117"/>
      </w:tabs>
      <w:spacing w:before="120" w:after="120"/>
      <w:jc w:val="left"/>
    </w:pPr>
    <w:rPr>
      <w:caps/>
      <w:sz w:val="28"/>
      <w:szCs w:val="20"/>
    </w:rPr>
  </w:style>
  <w:style w:type="character" w:styleId="5">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2026-05-25T07:47:00Z</dcterms:created>
  <dc:creator>Administrator</dc:creator>
  <cp:lastModifiedBy>Administrator</cp:lastModifiedBy>
  <dcterms:modified xsi:type="dcterms:W3CDTF">2026-05-25T07:48:09Z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