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报价书</w:t>
      </w:r>
    </w:p>
    <w:p>
      <w:pPr>
        <w:spacing w:line="600" w:lineRule="exact"/>
        <w:jc w:val="center"/>
        <w:rPr>
          <w:rFonts w:ascii="Times New Roman" w:hAnsi="Times New Roman" w:eastAsia="方正黑体_GBK" w:cs="Times New Roman"/>
          <w:sz w:val="44"/>
          <w:szCs w:val="44"/>
        </w:rPr>
      </w:pPr>
    </w:p>
    <w:p>
      <w:pPr>
        <w:spacing w:after="0" w:line="600" w:lineRule="exact"/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重庆智慧总部新城建设有限公司：</w:t>
      </w:r>
    </w:p>
    <w:p>
      <w:pPr>
        <w:spacing w:after="0"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一、根据你方发布的征询公告，经研究，我方愿以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>万元</w:t>
      </w:r>
      <w:r>
        <w:rPr>
          <w:rFonts w:hint="eastAsia"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  <w:lang w:val="en-US" w:eastAsia="zh-CN"/>
        </w:rPr>
        <w:t>完成</w:t>
      </w:r>
      <w:r>
        <w:rPr>
          <w:rFonts w:hint="eastAsia" w:ascii="Times New Roman" w:hAnsi="Times New Roman" w:eastAsia="方正仿宋_GBK" w:cs="Times New Roman"/>
          <w:b w:val="0"/>
          <w:color w:val="000000"/>
          <w:kern w:val="2"/>
          <w:sz w:val="32"/>
          <w:szCs w:val="32"/>
          <w:lang w:val="en-US" w:eastAsia="zh-CN" w:bidi="ar-SA"/>
        </w:rPr>
        <w:t>智慧总部新城（首开区）基础设施工程项目（东侧集散通道、纵一路）地下综合管廊规划入库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调整服务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>。</w:t>
      </w:r>
    </w:p>
    <w:p>
      <w:pPr>
        <w:spacing w:after="0"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二、本报价包括公告内所有工作内容。</w:t>
      </w: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          报价单位：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（盖章） </w:t>
      </w: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          联 系 人：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</w:t>
      </w:r>
      <w:r>
        <w:rPr>
          <w:rFonts w:hint="eastAsia"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</w:t>
      </w: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          电    话：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                                                </w:t>
      </w: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          日    期：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 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6D524C"/>
    <w:rsid w:val="126D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2026-10-12T02:37:00Z</dcterms:created>
  <dc:creator>Administrator</dc:creator>
  <cp:lastModifiedBy>Administrator</cp:lastModifiedBy>
  <dcterms:modified xsi:type="dcterms:W3CDTF">2026-10-12T02:37:49Z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